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E9" w:rsidRDefault="007E69E9" w:rsidP="007E69E9">
      <w:pPr>
        <w:spacing w:line="500" w:lineRule="exact"/>
        <w:jc w:val="center"/>
        <w:rPr>
          <w:rFonts w:ascii="方正小标宋简体" w:eastAsia="方正小标宋简体" w:hAnsi="楷体" w:hint="eastAsia"/>
          <w:sz w:val="36"/>
          <w:szCs w:val="36"/>
        </w:rPr>
      </w:pPr>
      <w:r w:rsidRPr="00BA606A">
        <w:rPr>
          <w:rFonts w:ascii="方正小标宋简体" w:eastAsia="方正小标宋简体" w:hAnsi="楷体" w:hint="eastAsia"/>
          <w:sz w:val="36"/>
          <w:szCs w:val="36"/>
        </w:rPr>
        <w:t>2020版本</w:t>
      </w:r>
      <w:proofErr w:type="gramStart"/>
      <w:r w:rsidRPr="00BA606A">
        <w:rPr>
          <w:rFonts w:ascii="方正小标宋简体" w:eastAsia="方正小标宋简体" w:hAnsi="楷体" w:hint="eastAsia"/>
          <w:sz w:val="36"/>
          <w:szCs w:val="36"/>
        </w:rPr>
        <w:t>科培养</w:t>
      </w:r>
      <w:proofErr w:type="gramEnd"/>
      <w:r w:rsidRPr="00BA606A">
        <w:rPr>
          <w:rFonts w:ascii="方正小标宋简体" w:eastAsia="方正小标宋简体" w:hAnsi="楷体" w:hint="eastAsia"/>
          <w:sz w:val="36"/>
          <w:szCs w:val="36"/>
        </w:rPr>
        <w:t>方案课程教学质量标准编制</w:t>
      </w:r>
    </w:p>
    <w:p w:rsidR="007E69E9" w:rsidRPr="00BA606A" w:rsidRDefault="007E69E9" w:rsidP="007E69E9">
      <w:pPr>
        <w:spacing w:line="500" w:lineRule="exact"/>
        <w:jc w:val="center"/>
        <w:rPr>
          <w:rFonts w:ascii="方正小标宋简体" w:eastAsia="方正小标宋简体" w:hAnsi="楷体" w:hint="eastAsia"/>
          <w:sz w:val="36"/>
          <w:szCs w:val="36"/>
        </w:rPr>
      </w:pPr>
      <w:r w:rsidRPr="00BA606A">
        <w:rPr>
          <w:rFonts w:ascii="方正小标宋简体" w:eastAsia="方正小标宋简体" w:hAnsi="楷体" w:hint="eastAsia"/>
          <w:sz w:val="36"/>
          <w:szCs w:val="36"/>
        </w:rPr>
        <w:t>指导意见</w:t>
      </w:r>
    </w:p>
    <w:p w:rsidR="007E69E9" w:rsidRPr="00BA606A" w:rsidRDefault="007E69E9" w:rsidP="007E69E9">
      <w:pPr>
        <w:overflowPunct w:val="0"/>
        <w:topLinePunct/>
        <w:spacing w:line="500" w:lineRule="exact"/>
        <w:jc w:val="center"/>
        <w:rPr>
          <w:rFonts w:ascii="仿宋_GB2312" w:eastAsia="仿宋_GB2312" w:hAnsi="黑体" w:cs="黑体" w:hint="eastAsia"/>
          <w:b/>
          <w:bCs/>
          <w:sz w:val="28"/>
          <w:szCs w:val="28"/>
        </w:rPr>
      </w:pPr>
      <w:bookmarkStart w:id="0" w:name="_GoBack"/>
      <w:bookmarkEnd w:id="0"/>
    </w:p>
    <w:p w:rsidR="007E69E9" w:rsidRPr="00BA606A" w:rsidRDefault="007E69E9" w:rsidP="007E69E9">
      <w:pPr>
        <w:spacing w:line="500" w:lineRule="exact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 w:rsidRPr="00BA606A">
        <w:rPr>
          <w:rFonts w:ascii="黑体" w:eastAsia="黑体" w:hAnsi="黑体" w:hint="eastAsia"/>
          <w:sz w:val="28"/>
          <w:szCs w:val="28"/>
        </w:rPr>
        <w:t>一、课程</w:t>
      </w:r>
      <w:proofErr w:type="gramStart"/>
      <w:r w:rsidRPr="00BA606A">
        <w:rPr>
          <w:rFonts w:ascii="黑体" w:eastAsia="黑体" w:hAnsi="黑体" w:hint="eastAsia"/>
          <w:sz w:val="28"/>
          <w:szCs w:val="28"/>
        </w:rPr>
        <w:t>库制定</w:t>
      </w:r>
      <w:proofErr w:type="gramEnd"/>
      <w:r w:rsidRPr="00BA606A">
        <w:rPr>
          <w:rFonts w:ascii="黑体" w:eastAsia="黑体" w:hAnsi="黑体" w:hint="eastAsia"/>
          <w:sz w:val="28"/>
          <w:szCs w:val="28"/>
        </w:rPr>
        <w:t>要求</w:t>
      </w:r>
    </w:p>
    <w:p w:rsidR="007E69E9" w:rsidRPr="00BA606A" w:rsidRDefault="007E69E9" w:rsidP="007E69E9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（一）学校建立统一的课程库。在学院申报的基础上，经学校组织学术委员会教学委员会审核，确定每门课程的“课程负责学院”等基本信息后进入学校课程库。“课程负责学院”是指课程开设专业所在学院。课程负责学院要负责制定课程教学质量标准，并安排授课教师，其他学院教师若开设不属于本学院负责的课程，需向课程负责学院申请并获批准。</w:t>
      </w:r>
    </w:p>
    <w:p w:rsidR="007E69E9" w:rsidRPr="00BA606A" w:rsidRDefault="007E69E9" w:rsidP="007E69E9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（二）所有课程都必须经学校审核后才能进入学校课程库。</w:t>
      </w:r>
    </w:p>
    <w:p w:rsidR="007E69E9" w:rsidRPr="00BA606A" w:rsidRDefault="007E69E9" w:rsidP="007E69E9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（三）课程库中的课程的基本信息主要包括：课程编号、课程名称（中英文）、学时学分、课程性质、先修课程（中英文）、适用专业（中英文）、中英文内容简介（中文不超过300字）、课程考核方式、课程负责人、授课教师等。</w:t>
      </w:r>
    </w:p>
    <w:p w:rsidR="007E69E9" w:rsidRPr="00BA606A" w:rsidRDefault="007E69E9" w:rsidP="007E69E9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（四）课程编号由6位字母或数字组成。</w:t>
      </w:r>
    </w:p>
    <w:p w:rsidR="007E69E9" w:rsidRPr="00BA606A" w:rsidRDefault="007E69E9" w:rsidP="007E69E9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第1位代表课程分类：G代表通识教育必修课程、Q代表通识教育选修课程、M代表专业大类基础课程和专业课程、I代表跨专业选修课程、P代表实践环节课程、S代表第二课堂课程、E代表拓展课程。</w:t>
      </w:r>
    </w:p>
    <w:p w:rsidR="007E69E9" w:rsidRPr="00BA606A" w:rsidRDefault="007E69E9" w:rsidP="007E69E9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第2-3位代表课程负责学院，各学院的代码如下表所示。</w:t>
      </w:r>
    </w:p>
    <w:p w:rsidR="007E69E9" w:rsidRPr="00BA606A" w:rsidRDefault="007E69E9" w:rsidP="007E69E9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第4位代表院设专业、基础课教研室代码（1-9），各开课学院根据需要设置。</w:t>
      </w:r>
    </w:p>
    <w:p w:rsidR="007E69E9" w:rsidRPr="00BA606A" w:rsidRDefault="007E69E9" w:rsidP="007E69E9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第5-6位为流水号（01-99）。</w:t>
      </w:r>
    </w:p>
    <w:p w:rsidR="007E69E9" w:rsidRDefault="007E69E9" w:rsidP="007E69E9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所有课程的编号必须唯一，严禁重复。</w:t>
      </w:r>
    </w:p>
    <w:p w:rsidR="007E69E9" w:rsidRPr="00BA606A" w:rsidRDefault="007E69E9" w:rsidP="007E69E9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473"/>
        <w:gridCol w:w="1235"/>
        <w:gridCol w:w="2793"/>
      </w:tblGrid>
      <w:tr w:rsidR="007E69E9" w:rsidRPr="00DA49EE" w:rsidTr="00C341C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  <w:t>代码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  <w:t>代码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  <w:t>学院</w:t>
            </w:r>
          </w:p>
        </w:tc>
      </w:tr>
      <w:tr w:rsidR="007E69E9" w:rsidRPr="00DA49EE" w:rsidTr="00C341C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01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矿业学院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12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外文学院</w:t>
            </w:r>
          </w:p>
        </w:tc>
      </w:tr>
      <w:tr w:rsidR="007E69E9" w:rsidRPr="00DA49EE" w:rsidTr="00C341C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lastRenderedPageBreak/>
              <w:t>02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土木学院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13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体育学院</w:t>
            </w:r>
          </w:p>
        </w:tc>
      </w:tr>
      <w:tr w:rsidR="007E69E9" w:rsidRPr="00DA49EE" w:rsidTr="00C341C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03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机电学院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14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材料与物理学院</w:t>
            </w:r>
          </w:p>
        </w:tc>
      </w:tr>
      <w:tr w:rsidR="007E69E9" w:rsidRPr="00DA49EE" w:rsidTr="00C341C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04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proofErr w:type="gramStart"/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信控学院</w:t>
            </w:r>
            <w:proofErr w:type="gramEnd"/>
          </w:p>
        </w:tc>
        <w:tc>
          <w:tcPr>
            <w:tcW w:w="1235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15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设计学院</w:t>
            </w:r>
          </w:p>
        </w:tc>
      </w:tr>
      <w:tr w:rsidR="007E69E9" w:rsidRPr="00DA49EE" w:rsidTr="00C341C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05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资源学院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16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安全学院</w:t>
            </w:r>
          </w:p>
        </w:tc>
      </w:tr>
      <w:tr w:rsidR="007E69E9" w:rsidRPr="00DA49EE" w:rsidTr="00C341C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06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化工学院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17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电力学院</w:t>
            </w:r>
          </w:p>
        </w:tc>
      </w:tr>
      <w:tr w:rsidR="007E69E9" w:rsidRPr="00DA49EE" w:rsidTr="00C341C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07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proofErr w:type="gramStart"/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环测学院</w:t>
            </w:r>
            <w:proofErr w:type="gramEnd"/>
          </w:p>
        </w:tc>
        <w:tc>
          <w:tcPr>
            <w:tcW w:w="1235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18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马克思主义学院</w:t>
            </w:r>
          </w:p>
        </w:tc>
      </w:tr>
      <w:tr w:rsidR="007E69E9" w:rsidRPr="00DA49EE" w:rsidTr="00C341C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08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计算机学院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19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孙越崎学院</w:t>
            </w:r>
          </w:p>
        </w:tc>
      </w:tr>
      <w:tr w:rsidR="007E69E9" w:rsidRPr="00DA49EE" w:rsidTr="00C341C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09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21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职教部</w:t>
            </w:r>
          </w:p>
        </w:tc>
      </w:tr>
      <w:tr w:rsidR="007E69E9" w:rsidRPr="00DA49EE" w:rsidTr="00C341C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数学学院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26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国际学院</w:t>
            </w:r>
          </w:p>
        </w:tc>
      </w:tr>
      <w:tr w:rsidR="007E69E9" w:rsidRPr="00DA49EE" w:rsidTr="00C341C5">
        <w:trPr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11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公管学院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30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E69E9" w:rsidRPr="00DA49EE" w:rsidRDefault="007E69E9" w:rsidP="00C341C5">
            <w:pPr>
              <w:spacing w:line="44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DA49EE">
              <w:rPr>
                <w:rFonts w:ascii="仿宋_GB2312" w:eastAsia="仿宋_GB2312" w:hAnsi="仿宋" w:cs="仿宋_GB2312" w:hint="eastAsia"/>
                <w:sz w:val="28"/>
                <w:szCs w:val="28"/>
              </w:rPr>
              <w:t>其它</w:t>
            </w:r>
          </w:p>
        </w:tc>
      </w:tr>
    </w:tbl>
    <w:p w:rsidR="007E69E9" w:rsidRPr="00DA49EE" w:rsidRDefault="007E69E9" w:rsidP="007E69E9">
      <w:pPr>
        <w:spacing w:line="240" w:lineRule="exact"/>
        <w:ind w:firstLineChars="200" w:firstLine="560"/>
        <w:rPr>
          <w:rFonts w:ascii="仿宋_GB2312" w:eastAsia="仿宋_GB2312" w:hAnsi="仿宋" w:cs="仿宋_GB2312" w:hint="eastAsia"/>
          <w:sz w:val="28"/>
          <w:szCs w:val="28"/>
        </w:rPr>
      </w:pPr>
    </w:p>
    <w:p w:rsidR="007E69E9" w:rsidRPr="00BA606A" w:rsidRDefault="007E69E9" w:rsidP="007E69E9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（五）课程库中所有课程均应明确配备两名及以上可担任讲授任务的教师。</w:t>
      </w:r>
    </w:p>
    <w:p w:rsidR="007E69E9" w:rsidRPr="00BA606A" w:rsidRDefault="007E69E9" w:rsidP="007E69E9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（六）各学院应认真组织教师积极开设通识选修课程，要求理工科专业每个专业至少开设2门，经济管理类、人文社科类和体育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类每个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专业至少开设5门，艺术类专业至少应开设教育部规定的8门艺术鉴赏类课程。对于非学院教师开设的通识选修课程，由教务部统一安排。</w:t>
      </w:r>
    </w:p>
    <w:p w:rsidR="007E69E9" w:rsidRPr="00BA606A" w:rsidRDefault="007E69E9" w:rsidP="007E69E9">
      <w:pPr>
        <w:spacing w:line="500" w:lineRule="exact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 </w:t>
      </w:r>
      <w:r w:rsidRPr="00BA606A">
        <w:rPr>
          <w:rFonts w:ascii="黑体" w:eastAsia="黑体" w:hAnsi="黑体" w:hint="eastAsia"/>
          <w:sz w:val="28"/>
          <w:szCs w:val="28"/>
        </w:rPr>
        <w:t>二、课程教学质量标准制定要求</w:t>
      </w:r>
    </w:p>
    <w:p w:rsidR="007E69E9" w:rsidRPr="00BA606A" w:rsidRDefault="007E69E9" w:rsidP="007E69E9">
      <w:pPr>
        <w:spacing w:line="50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BA606A">
        <w:rPr>
          <w:rFonts w:ascii="仿宋_GB2312" w:eastAsia="仿宋_GB2312" w:hAnsi="楷体" w:hint="eastAsia"/>
          <w:sz w:val="28"/>
          <w:szCs w:val="28"/>
        </w:rPr>
        <w:t>（一）理论教学环节课程</w:t>
      </w:r>
    </w:p>
    <w:p w:rsidR="007E69E9" w:rsidRPr="00BA606A" w:rsidRDefault="007E69E9" w:rsidP="007E69E9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1．所有课程均要编写课程教学质量标准，课程质量标准的内容和格式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见相关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要求。通识教育课程、全校性专业大类基础课程质量标准由课程负责学院编写，学校汇总、批准后统一编印；其他课程质量标准按照学校规定的样式由课程负责学院编印。</w:t>
      </w:r>
    </w:p>
    <w:p w:rsidR="007E69E9" w:rsidRPr="00BA606A" w:rsidRDefault="007E69E9" w:rsidP="007E69E9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2．课程教学质量标准的课程名称（中、英文对照）、编号、学时和学分等要与2020版本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科培养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方案一致。</w:t>
      </w:r>
    </w:p>
    <w:p w:rsidR="007E69E9" w:rsidRPr="00BA606A" w:rsidRDefault="007E69E9" w:rsidP="007E69E9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3．各课程的教学质量标准必须在系、所或课程教学团队进行充分讨论，充分体现课程教学内容的先进性、前沿性，课程教学内容应融合有课程思政和培养学生创新意识的内容。课程质量标准由课程</w:t>
      </w:r>
      <w:r w:rsidRPr="00BA606A">
        <w:rPr>
          <w:rFonts w:ascii="仿宋_GB2312" w:eastAsia="仿宋_GB2312" w:hAnsi="仿宋" w:hint="eastAsia"/>
          <w:sz w:val="28"/>
          <w:szCs w:val="28"/>
        </w:rPr>
        <w:lastRenderedPageBreak/>
        <w:t>（群）负责人或课程（群）内副教授及其以上职称的主讲教师编写并签字，由专业负责人审定并签字，学院主管教学院长签字批准后，报教务部审批备案。</w:t>
      </w:r>
    </w:p>
    <w:p w:rsidR="007E69E9" w:rsidRPr="00BA606A" w:rsidRDefault="007E69E9" w:rsidP="007E69E9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4．课程教学质量标准中，课程的基本要求要按照课程的特点编写，课程的教学内容要说明本课程教学内容的重点、难点和采用的教学方式，并写明学时分配计划。教材应优先选用国家规划教材或国内外优秀教材，且主要参考书不少于2部，同时要注明考核方式（包括作业、测验、考试（开卷、闭卷）等及其所占比例）。专业课程的教学内容应体现学术研究的最新成果。具备在线开放课程资源的课程，要将在线开放课程列入参考资料，供学生课外线上学习，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明确线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上学时，并将线上学习情况纳入总成绩计算。</w:t>
      </w:r>
    </w:p>
    <w:p w:rsidR="007E69E9" w:rsidRPr="00BA606A" w:rsidRDefault="007E69E9" w:rsidP="007E69E9">
      <w:pPr>
        <w:spacing w:line="50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BA606A">
        <w:rPr>
          <w:rFonts w:ascii="仿宋_GB2312" w:eastAsia="仿宋_GB2312" w:hAnsi="楷体" w:hint="eastAsia"/>
          <w:sz w:val="28"/>
          <w:szCs w:val="28"/>
        </w:rPr>
        <w:t>（二）实验类课程</w:t>
      </w:r>
    </w:p>
    <w:p w:rsidR="007E69E9" w:rsidRPr="00BA606A" w:rsidRDefault="007E69E9" w:rsidP="007E69E9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1．所有课程实验教学质量标准均由课程负责学院负责编写。由课程任课教师编写，专业负责人审定，学院负责人批准后，报教务部审批备案。</w:t>
      </w:r>
    </w:p>
    <w:p w:rsidR="007E69E9" w:rsidRPr="00BA606A" w:rsidRDefault="007E69E9" w:rsidP="007E69E9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2．课程实验教学质量标准的课程名称（中、英文对照）、课程编号、课程性质、学时数、学分数、应开学期等要与2020版本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科培养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方案一致。</w:t>
      </w:r>
    </w:p>
    <w:p w:rsidR="007E69E9" w:rsidRPr="00BA606A" w:rsidRDefault="007E69E9" w:rsidP="007E69E9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3．实验类型分为非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独立设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课和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独立设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课两种。实验项目共分为三类五个实验属性，即基础型实验教学类（演示性实验、验证性实验）、提高型实验教学类（综合性实验、设计性实验）和研究创新型实验教学类（创新性实验）。</w:t>
      </w:r>
    </w:p>
    <w:p w:rsidR="007E69E9" w:rsidRPr="00BA606A" w:rsidRDefault="007E69E9" w:rsidP="007E69E9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4．课程简介的文字应控制在200字以内。对应实验项目的实验属性在演示、验证、综合、设计、创新五种属性中加以确定。开出要求分为必做和选做两种。</w:t>
      </w:r>
    </w:p>
    <w:p w:rsidR="007E69E9" w:rsidRPr="00BA606A" w:rsidRDefault="007E69E9" w:rsidP="007E69E9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5．实验指导书由课程负责学院负责编写印制。</w:t>
      </w:r>
    </w:p>
    <w:p w:rsidR="007E69E9" w:rsidRPr="00BA606A" w:rsidRDefault="007E69E9" w:rsidP="007E69E9">
      <w:pPr>
        <w:spacing w:line="50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BA606A">
        <w:rPr>
          <w:rFonts w:ascii="仿宋_GB2312" w:eastAsia="仿宋_GB2312" w:hAnsi="楷体" w:hint="eastAsia"/>
          <w:sz w:val="28"/>
          <w:szCs w:val="28"/>
        </w:rPr>
        <w:t>（三）实习</w:t>
      </w:r>
      <w:proofErr w:type="gramStart"/>
      <w:r w:rsidRPr="00BA606A">
        <w:rPr>
          <w:rFonts w:ascii="仿宋_GB2312" w:eastAsia="仿宋_GB2312" w:hAnsi="楷体" w:hint="eastAsia"/>
          <w:sz w:val="28"/>
          <w:szCs w:val="28"/>
        </w:rPr>
        <w:t>实训类课程</w:t>
      </w:r>
      <w:proofErr w:type="gramEnd"/>
    </w:p>
    <w:p w:rsidR="007E69E9" w:rsidRPr="00BA606A" w:rsidRDefault="007E69E9" w:rsidP="007E69E9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lastRenderedPageBreak/>
        <w:t>实习实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训教学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质量标准主要包括实习教学质量标准、课程设计教学质量标准、专业综合能力训练教学质量标准、实践能力培养与技能训练教学质量标准、其他类实习实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训教学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质量标准等5种类型。其中前三个实习实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训教学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质量标准学院必做，此外，创新能力培养（技能训练）教学质量标准和其他类实习实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训教学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质量标准由各学院根据实际情况以及创新人才的培养需要选做。</w:t>
      </w:r>
    </w:p>
    <w:p w:rsidR="007E69E9" w:rsidRPr="00BA606A" w:rsidRDefault="007E69E9" w:rsidP="007E69E9">
      <w:pPr>
        <w:spacing w:line="50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BA606A">
        <w:rPr>
          <w:rFonts w:ascii="仿宋_GB2312" w:eastAsia="仿宋_GB2312" w:hAnsi="楷体" w:hint="eastAsia"/>
          <w:sz w:val="28"/>
          <w:szCs w:val="28"/>
        </w:rPr>
        <w:t>1．实习教学质量标准</w:t>
      </w:r>
    </w:p>
    <w:p w:rsidR="007E69E9" w:rsidRPr="00BA606A" w:rsidRDefault="007E69E9" w:rsidP="007E69E9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（1）实习类型包括认识实习、生产实习、毕业实习及其他实习。</w:t>
      </w:r>
    </w:p>
    <w:p w:rsidR="007E69E9" w:rsidRPr="00BA606A" w:rsidRDefault="007E69E9" w:rsidP="007E69E9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（2）所有实习教学质量标准均由课程负责学院负责编写。由实践教学负责人编写，专业负责人审定，学院负责人批准后，报教务部审批备案。</w:t>
      </w:r>
    </w:p>
    <w:p w:rsidR="007E69E9" w:rsidRPr="00BA606A" w:rsidRDefault="007E69E9" w:rsidP="007E69E9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（3）实习教学质量标准的实习名称（中、英文对照）、编号、实习周数、学分数、应开学期等要与2020版本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科培养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方案一致。</w:t>
      </w:r>
    </w:p>
    <w:p w:rsidR="007E69E9" w:rsidRPr="00BA606A" w:rsidRDefault="007E69E9" w:rsidP="007E69E9">
      <w:pPr>
        <w:spacing w:line="500" w:lineRule="exact"/>
        <w:jc w:val="left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楷体" w:hint="eastAsia"/>
          <w:sz w:val="28"/>
          <w:szCs w:val="28"/>
        </w:rPr>
        <w:t>2．课程设计教学质量标准</w:t>
      </w:r>
    </w:p>
    <w:p w:rsidR="007E69E9" w:rsidRPr="00BA606A" w:rsidRDefault="007E69E9" w:rsidP="007E69E9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（1）所有课程设计教学质量标准均由课程负责学院负责编写。由实践教学负责人编写，专业负责人审定，学院负责人批准后，报教务部审批备案。</w:t>
      </w:r>
    </w:p>
    <w:p w:rsidR="007E69E9" w:rsidRPr="00BA606A" w:rsidRDefault="007E69E9" w:rsidP="007E69E9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（2）所有课程设计教学质量标准的课程名称（中、英文对照）、课程编号、课程性质、学时数、学分数、应开学期等要与2020版本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科培养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方案一致。</w:t>
      </w:r>
    </w:p>
    <w:p w:rsidR="007E69E9" w:rsidRPr="00BA606A" w:rsidRDefault="007E69E9" w:rsidP="007E69E9">
      <w:pPr>
        <w:spacing w:line="500" w:lineRule="exact"/>
        <w:jc w:val="left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楷体" w:hint="eastAsia"/>
          <w:sz w:val="28"/>
          <w:szCs w:val="28"/>
        </w:rPr>
        <w:t>3．专业综合能力训练教学质量标准</w:t>
      </w:r>
    </w:p>
    <w:p w:rsidR="007E69E9" w:rsidRPr="00BA606A" w:rsidRDefault="007E69E9" w:rsidP="007E69E9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（1）专业综合能力训练是学生综合运用所学基础知识、基本理论和基本技能，分析和解决实际问题并提升学生专业综合素质能力的过程体现，是学生毕业及学位资格认定的重要依据，可采取毕业设计、毕业论文、毕业实验、调研报告、艺术展演、作品与成果等形式进行。</w:t>
      </w:r>
    </w:p>
    <w:p w:rsidR="007E69E9" w:rsidRPr="00BA606A" w:rsidRDefault="007E69E9" w:rsidP="007E69E9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（2）所有专业综合能力训练教学质量标准均由课程负责学院负责编写。由实践教学负责人编写，专业负责人审定后，报教务部审批</w:t>
      </w:r>
      <w:r w:rsidRPr="00BA606A">
        <w:rPr>
          <w:rFonts w:ascii="仿宋_GB2312" w:eastAsia="仿宋_GB2312" w:hAnsi="仿宋" w:hint="eastAsia"/>
          <w:sz w:val="28"/>
          <w:szCs w:val="28"/>
        </w:rPr>
        <w:lastRenderedPageBreak/>
        <w:t>备案。</w:t>
      </w:r>
    </w:p>
    <w:p w:rsidR="007E69E9" w:rsidRPr="00BA606A" w:rsidRDefault="007E69E9" w:rsidP="007E69E9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（3）所有专业综合能力训练教学质量标准的编号、周数、学分数、应开学期等要与2020版本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科培养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方案一致。</w:t>
      </w:r>
    </w:p>
    <w:p w:rsidR="007E69E9" w:rsidRPr="00BA606A" w:rsidRDefault="007E69E9" w:rsidP="007E69E9">
      <w:pPr>
        <w:spacing w:line="500" w:lineRule="exact"/>
        <w:jc w:val="left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楷体" w:hint="eastAsia"/>
          <w:sz w:val="28"/>
          <w:szCs w:val="28"/>
        </w:rPr>
        <w:t>4．创新能力培养（技能训练）教学质量标准</w:t>
      </w:r>
    </w:p>
    <w:p w:rsidR="007E69E9" w:rsidRPr="00BA606A" w:rsidRDefault="007E69E9" w:rsidP="007E69E9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创新能力培养（技能训练）质量标准制作格式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见相关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要求。</w:t>
      </w:r>
    </w:p>
    <w:p w:rsidR="007E69E9" w:rsidRPr="00BA606A" w:rsidRDefault="007E69E9" w:rsidP="007E69E9">
      <w:pPr>
        <w:spacing w:line="500" w:lineRule="exact"/>
        <w:jc w:val="left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楷体" w:hint="eastAsia"/>
          <w:sz w:val="28"/>
          <w:szCs w:val="28"/>
        </w:rPr>
        <w:t>5．其他类实习实</w:t>
      </w:r>
      <w:proofErr w:type="gramStart"/>
      <w:r w:rsidRPr="00BA606A">
        <w:rPr>
          <w:rFonts w:ascii="仿宋_GB2312" w:eastAsia="仿宋_GB2312" w:hAnsi="楷体" w:hint="eastAsia"/>
          <w:sz w:val="28"/>
          <w:szCs w:val="28"/>
        </w:rPr>
        <w:t>训教学</w:t>
      </w:r>
      <w:proofErr w:type="gramEnd"/>
      <w:r w:rsidRPr="00BA606A">
        <w:rPr>
          <w:rFonts w:ascii="仿宋_GB2312" w:eastAsia="仿宋_GB2312" w:hAnsi="楷体" w:hint="eastAsia"/>
          <w:sz w:val="28"/>
          <w:szCs w:val="28"/>
        </w:rPr>
        <w:t>质量标准</w:t>
      </w:r>
    </w:p>
    <w:p w:rsidR="00E717CF" w:rsidRDefault="007E69E9" w:rsidP="007E69E9"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各学院根据实际情况制定的其他类实习实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训教学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质量标准制作要求同创新能力培养（技能训练）教学质量标准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sectPr w:rsidR="00E717CF" w:rsidSect="001F76B1">
      <w:footerReference w:type="even" r:id="rId6"/>
      <w:footerReference w:type="default" r:id="rId7"/>
      <w:pgSz w:w="11906" w:h="16838"/>
      <w:pgMar w:top="1440" w:right="1800" w:bottom="1440" w:left="1800" w:header="851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2C7" w:rsidRDefault="007532C7" w:rsidP="007E69E9">
      <w:r>
        <w:separator/>
      </w:r>
    </w:p>
  </w:endnote>
  <w:endnote w:type="continuationSeparator" w:id="0">
    <w:p w:rsidR="007532C7" w:rsidRDefault="007532C7" w:rsidP="007E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334831"/>
      <w:docPartObj>
        <w:docPartGallery w:val="Page Numbers (Bottom of Page)"/>
        <w:docPartUnique/>
      </w:docPartObj>
    </w:sdtPr>
    <w:sdtContent>
      <w:p w:rsidR="001F76B1" w:rsidRDefault="001F76B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76B1">
          <w:rPr>
            <w:noProof/>
            <w:lang w:val="zh-CN"/>
          </w:rPr>
          <w:t>-</w:t>
        </w:r>
        <w:r>
          <w:rPr>
            <w:noProof/>
          </w:rPr>
          <w:t xml:space="preserve"> 4 -</w:t>
        </w:r>
        <w:r>
          <w:fldChar w:fldCharType="end"/>
        </w:r>
      </w:p>
    </w:sdtContent>
  </w:sdt>
  <w:p w:rsidR="001F76B1" w:rsidRDefault="001F76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763321"/>
      <w:docPartObj>
        <w:docPartGallery w:val="Page Numbers (Bottom of Page)"/>
        <w:docPartUnique/>
      </w:docPartObj>
    </w:sdtPr>
    <w:sdtContent>
      <w:p w:rsidR="001F76B1" w:rsidRDefault="001F76B1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76B1">
          <w:rPr>
            <w:noProof/>
            <w:lang w:val="zh-CN"/>
          </w:rPr>
          <w:t>-</w:t>
        </w:r>
        <w:r>
          <w:rPr>
            <w:noProof/>
          </w:rPr>
          <w:t xml:space="preserve"> 5 -</w:t>
        </w:r>
        <w:r>
          <w:fldChar w:fldCharType="end"/>
        </w:r>
      </w:p>
    </w:sdtContent>
  </w:sdt>
  <w:p w:rsidR="001F76B1" w:rsidRDefault="001F76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2C7" w:rsidRDefault="007532C7" w:rsidP="007E69E9">
      <w:r>
        <w:separator/>
      </w:r>
    </w:p>
  </w:footnote>
  <w:footnote w:type="continuationSeparator" w:id="0">
    <w:p w:rsidR="007532C7" w:rsidRDefault="007532C7" w:rsidP="007E6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E5"/>
    <w:rsid w:val="001F76B1"/>
    <w:rsid w:val="007532C7"/>
    <w:rsid w:val="007E69E9"/>
    <w:rsid w:val="00813AE5"/>
    <w:rsid w:val="00E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55352C-F413-4AD2-B969-8B2FAAD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9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9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9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2020-02-23T03:45:00Z</dcterms:created>
  <dcterms:modified xsi:type="dcterms:W3CDTF">2020-02-23T03:45:00Z</dcterms:modified>
</cp:coreProperties>
</file>