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关于征集大学生创新创业训练计划项目指南和推荐“互联网+”大学生创新创业大赛培育项目的通知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各学院、各有关单位：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推进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创新创业教育工作，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增强学生创新创业能力，提升大创项目选题质量，培育高水平“互联网+”参赛项目，现开展大创项目征集和大赛项目培育工作，具体通知如下：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一、大创项目指南征集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本次项目征集主要是面向全校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教师、科研平台和相关企业，项目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指南申报人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根据自己的研究领域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或生产实际等</w:t>
      </w:r>
      <w:r>
        <w:rPr>
          <w:rFonts w:hint="eastAsia" w:ascii="仿宋_GB2312" w:hAnsi="仿宋_GB2312" w:eastAsia="仿宋_GB2312" w:cs="仿宋_GB2312"/>
          <w:sz w:val="28"/>
          <w:szCs w:val="28"/>
        </w:rPr>
        <w:t>给出适合本科生的研究课题；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也可以依托学科竞赛提出研究课题。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多学科交叉融合项目。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2.学院推荐项目指南数量不低于本学院2020级新生数量的1/4，科研平台和企业推荐项目数量不做具体要求。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1.各单位推荐的项目指南，须经本单位初审、汇总后报送教务部。企业推荐的项目申报指南由合作学院代为报送。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2.教务部审核后，面向全校本科生发布项目申报指南。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3.材料报送截止时间10月31日。请将《2020年大学生创新创业训练计划项目指南征集表》（附件1）纸质版报送至教务部实践教学办公室，电子版发送至cumtsjk@126.com。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二、“互联网+”大赛项目培育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做好动员工作，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充分挖掘有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参加省赛、国赛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实力的项目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入库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培育。鼓励教师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和科研团队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高水平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科技成果产业化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；鼓励师生结合社会实践、乡村振兴、环境保护等，助力脱贫攻坚，深入开展“青年红色筑梦之旅”活动；鼓励学院发动毕业5年内的创业校友积极参与。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2.推荐项目赛道可为高教主赛道或“青年红色筑梦之旅”赛道，相关赛道介绍参照第六届国赛文件（附件4）。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推荐项目不只限于“互联网+”项目，鼓励各类创新创业项目入库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双一流学科群支撑的学科、专业所在学院推荐项目数不少于5项；有博士点、科研基础较扎实的其他理工科学院推荐项目数不少于3项；文科学院推荐项目数不少于1项。理工科学院须推荐1项红旅赛道项目，文科学院建议主推红旅赛道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1.各单位推荐的项目，须经本单位初审、汇总后报送教务部。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2.教务部组织专家对推荐项目进行评审、遴选，评审通过的项目直接入库培育。遴选后学院推荐项目数小于推荐要求的须重新推荐。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3.材料报送截止时间10月31日。请将《“互联网+”培育项目申报书》（附件2）、《“互联网+”培育项目汇总表》（附件3）纸质版报送至教务部实践教学办公室，电子版发送至cumtsjk@126.com。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联系人：郭昌清　　 电话：83590152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附件：1.2020年大学生创新创业训练计划项目指南征集表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2.“互联网+”培育项目申报书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3.“互联网+”培育项目汇总表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4.“互联网+”高教主赛道和红旅赛道介绍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教务部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2020年9月25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E7D2D"/>
    <w:rsid w:val="03F7426C"/>
    <w:rsid w:val="05736AC5"/>
    <w:rsid w:val="09167C2C"/>
    <w:rsid w:val="1E232B53"/>
    <w:rsid w:val="1F4E0731"/>
    <w:rsid w:val="271401E2"/>
    <w:rsid w:val="340E6D87"/>
    <w:rsid w:val="37C5113A"/>
    <w:rsid w:val="38D05ED5"/>
    <w:rsid w:val="3A8F5B83"/>
    <w:rsid w:val="3E243AFF"/>
    <w:rsid w:val="40F86E9F"/>
    <w:rsid w:val="42284821"/>
    <w:rsid w:val="450E7D2D"/>
    <w:rsid w:val="4CB67E01"/>
    <w:rsid w:val="52BB588B"/>
    <w:rsid w:val="65206C18"/>
    <w:rsid w:val="673630D4"/>
    <w:rsid w:val="68715347"/>
    <w:rsid w:val="6A425AF6"/>
    <w:rsid w:val="708B6856"/>
    <w:rsid w:val="734743C6"/>
    <w:rsid w:val="751E3C3F"/>
    <w:rsid w:val="75EA7B54"/>
    <w:rsid w:val="761D6B9B"/>
    <w:rsid w:val="773F6964"/>
    <w:rsid w:val="793E6690"/>
    <w:rsid w:val="7B9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2020-09-21T03:26:00Z</dcterms:created>
  <dc:creator>结网捕鱼</dc:creator>
  <cp:lastModifiedBy>结网捕鱼</cp:lastModifiedBy>
  <dcterms:modified xsi:type="dcterms:W3CDTF">2020-09-25T02:00:32Z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