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eastAsia="方正小标宋简体"/>
          <w:color w:val="000000"/>
          <w:sz w:val="36"/>
          <w:szCs w:val="36"/>
        </w:rPr>
      </w:pPr>
      <w:r>
        <w:rPr>
          <w:rFonts w:eastAsia="方正小标宋简体"/>
          <w:color w:val="000000"/>
          <w:sz w:val="36"/>
          <w:szCs w:val="36"/>
        </w:rPr>
        <w:t>第六届中国国际“互联网+”大学生创新创业大赛</w:t>
      </w:r>
    </w:p>
    <w:p>
      <w:pPr>
        <w:snapToGrid w:val="0"/>
        <w:spacing w:line="560" w:lineRule="exact"/>
        <w:jc w:val="center"/>
        <w:rPr>
          <w:rFonts w:hint="eastAsia" w:eastAsia="方正小标宋简体"/>
          <w:color w:val="000000"/>
          <w:sz w:val="36"/>
          <w:szCs w:val="36"/>
          <w:lang w:eastAsia="zh-CN"/>
        </w:rPr>
      </w:pPr>
      <w:r>
        <w:rPr>
          <w:rFonts w:eastAsia="方正小标宋简体"/>
          <w:color w:val="000000"/>
          <w:sz w:val="36"/>
          <w:szCs w:val="36"/>
        </w:rPr>
        <w:t>高教主赛道</w:t>
      </w:r>
      <w:r>
        <w:rPr>
          <w:rFonts w:hint="eastAsia" w:eastAsia="方正小标宋简体"/>
          <w:color w:val="000000"/>
          <w:sz w:val="36"/>
          <w:szCs w:val="36"/>
          <w:lang w:val="en-US" w:eastAsia="zh-CN"/>
        </w:rPr>
        <w:t>介绍</w:t>
      </w:r>
    </w:p>
    <w:p>
      <w:pPr>
        <w:snapToGrid w:val="0"/>
        <w:spacing w:line="560" w:lineRule="exact"/>
        <w:ind w:firstLine="640" w:firstLineChars="200"/>
        <w:rPr>
          <w:rFonts w:eastAsia="黑体"/>
          <w:color w:val="000000"/>
          <w:sz w:val="32"/>
          <w:szCs w:val="32"/>
        </w:rPr>
      </w:pPr>
    </w:p>
    <w:p>
      <w:pPr>
        <w:ind w:firstLine="640"/>
        <w:rPr>
          <w:rFonts w:eastAsia="仿宋_GB2312"/>
          <w:color w:val="000000"/>
          <w:sz w:val="32"/>
          <w:szCs w:val="32"/>
        </w:rPr>
      </w:pPr>
      <w:r>
        <w:rPr>
          <w:rFonts w:eastAsia="仿宋_GB2312"/>
          <w:color w:val="000000"/>
          <w:sz w:val="32"/>
          <w:szCs w:val="32"/>
        </w:rPr>
        <w:t>第六届中国国际“互联网+”大学生创新创业大赛设高教主赛道。同时</w:t>
      </w:r>
      <w:r>
        <w:rPr>
          <w:rFonts w:eastAsia="仿宋_GB2312"/>
          <w:sz w:val="32"/>
          <w:szCs w:val="32"/>
        </w:rPr>
        <w:t>将原国际赛道并入高教主赛道。</w:t>
      </w:r>
    </w:p>
    <w:p>
      <w:pPr>
        <w:snapToGrid w:val="0"/>
        <w:spacing w:line="540" w:lineRule="exact"/>
        <w:ind w:firstLine="640" w:firstLineChars="200"/>
        <w:rPr>
          <w:rFonts w:eastAsia="黑体"/>
          <w:bCs/>
          <w:sz w:val="32"/>
          <w:szCs w:val="32"/>
        </w:rPr>
      </w:pPr>
      <w:r>
        <w:rPr>
          <w:rFonts w:hAnsi="黑体" w:eastAsia="黑体"/>
          <w:bCs/>
          <w:sz w:val="32"/>
          <w:szCs w:val="32"/>
        </w:rPr>
        <w:t>一、参赛项目类型</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1.“互联网+”现代农业，包括农林牧渔等；</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2.“互联网+”制造业，包括先进制造、智能硬件、工业自动化、生物医药、节能环保、新材料、军工等；</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3.“互联网+”信息技术服务，包括人工智能技术、物联网技术、网络空间安全技术、大数据、云计算、工具软件、社交网络、媒体门户、企业服务、下一代通讯技术、区块链等；</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4.“互联网+”文化创意服务，包括广播影视、设计服务、文化艺术、旅游休闲、艺术品交易、广告会展、动漫娱乐、体育竞技等；</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5.“互联网+”社会服务，包括电子商务、消费生活、金融、财经法务、房产家居、高效物流、教育培训、医疗健康、交通、人力资源服务等。</w:t>
      </w:r>
    </w:p>
    <w:p>
      <w:pPr>
        <w:pStyle w:val="6"/>
        <w:shd w:val="clear" w:color="auto" w:fill="FFFFFF"/>
        <w:snapToGrid w:val="0"/>
        <w:spacing w:line="560" w:lineRule="exact"/>
        <w:ind w:firstLine="643" w:firstLineChars="200"/>
        <w:rPr>
          <w:rFonts w:hint="eastAsia" w:eastAsia="仿宋_GB2312"/>
          <w:color w:val="000000"/>
          <w:sz w:val="32"/>
          <w:szCs w:val="32"/>
        </w:rPr>
      </w:pPr>
      <w:r>
        <w:rPr>
          <w:rFonts w:eastAsia="仿宋_GB2312"/>
          <w:b/>
          <w:bCs/>
          <w:color w:val="000000"/>
          <w:sz w:val="32"/>
          <w:szCs w:val="32"/>
        </w:rPr>
        <w:t>参赛项目不只限于“互联网+”项目，鼓励各类创新创业项目参赛，根据行业背景选择相应类型。</w:t>
      </w:r>
    </w:p>
    <w:p>
      <w:pPr>
        <w:pStyle w:val="6"/>
        <w:shd w:val="clear" w:color="auto" w:fill="FFFFFF"/>
        <w:snapToGrid w:val="0"/>
        <w:spacing w:line="560" w:lineRule="exact"/>
        <w:ind w:firstLine="640" w:firstLineChars="200"/>
        <w:rPr>
          <w:rFonts w:eastAsia="仿宋_GB2312"/>
          <w:color w:val="000000"/>
          <w:sz w:val="32"/>
          <w:szCs w:val="32"/>
        </w:rPr>
      </w:pPr>
    </w:p>
    <w:p>
      <w:pPr>
        <w:snapToGrid w:val="0"/>
        <w:spacing w:line="540" w:lineRule="exact"/>
        <w:ind w:firstLine="640" w:firstLineChars="200"/>
        <w:rPr>
          <w:rFonts w:eastAsia="黑体"/>
          <w:bCs/>
          <w:sz w:val="32"/>
          <w:szCs w:val="32"/>
        </w:rPr>
      </w:pPr>
      <w:r>
        <w:rPr>
          <w:rFonts w:hAnsi="黑体" w:eastAsia="黑体"/>
          <w:bCs/>
          <w:sz w:val="32"/>
          <w:szCs w:val="32"/>
        </w:rPr>
        <w:t>二、参赛方式和要求</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大赛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2.根据参赛团队负责人的学籍或学历确定参赛团队所代表的参赛学校，按照参赛学校所</w:t>
      </w:r>
      <w:bookmarkStart w:id="0" w:name="_GoBack"/>
      <w:bookmarkEnd w:id="0"/>
      <w:r>
        <w:rPr>
          <w:rFonts w:eastAsia="仿宋_GB2312"/>
          <w:color w:val="000000"/>
          <w:sz w:val="32"/>
          <w:szCs w:val="32"/>
        </w:rPr>
        <w:t>在的国家和地区，分为中国大陆参赛项目、中国港澳台地区参赛项目、国际参赛项目3类。国际参赛项目和中国港澳台地区参赛项目可根据当地教育情况适当调整学籍和学历的相关参赛要求。</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3.所有参赛材料和现场答辩原则上使用中文或英文，如有其他语言需求，请联系大赛组委会。</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4.参赛项目不得含有任何违反《中华人民共和国宪法》及其他法律、法规的内容。须尊重中国文化，符合公序良俗。</w:t>
      </w:r>
    </w:p>
    <w:p>
      <w:pPr>
        <w:snapToGrid w:val="0"/>
        <w:spacing w:line="540" w:lineRule="exact"/>
        <w:ind w:firstLine="640" w:firstLineChars="200"/>
        <w:rPr>
          <w:rFonts w:eastAsia="黑体"/>
          <w:bCs/>
          <w:sz w:val="32"/>
          <w:szCs w:val="32"/>
        </w:rPr>
      </w:pPr>
      <w:r>
        <w:rPr>
          <w:rFonts w:hAnsi="黑体" w:eastAsia="黑体"/>
          <w:bCs/>
          <w:sz w:val="32"/>
          <w:szCs w:val="32"/>
        </w:rPr>
        <w:t>三、参赛组别和对象</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根据参赛项目所处的创业阶段、已获投资情况和项目特点，分为创意组、初创组、成长组、师生共创组。具体参赛条件如下：</w:t>
      </w:r>
    </w:p>
    <w:p>
      <w:pPr>
        <w:pStyle w:val="6"/>
        <w:shd w:val="clear" w:color="auto" w:fill="FFFFFF"/>
        <w:snapToGrid w:val="0"/>
        <w:spacing w:line="560" w:lineRule="exact"/>
        <w:ind w:firstLine="643" w:firstLineChars="200"/>
        <w:rPr>
          <w:rFonts w:eastAsia="仿宋_GB2312"/>
          <w:color w:val="000000"/>
          <w:sz w:val="32"/>
          <w:szCs w:val="32"/>
        </w:rPr>
      </w:pPr>
      <w:r>
        <w:rPr>
          <w:rFonts w:eastAsia="楷体_GB2312"/>
          <w:b/>
          <w:color w:val="000000"/>
          <w:sz w:val="32"/>
          <w:szCs w:val="32"/>
        </w:rPr>
        <w:t>（一）创意组。</w:t>
      </w:r>
      <w:r>
        <w:rPr>
          <w:rFonts w:eastAsia="仿宋_GB2312"/>
          <w:color w:val="000000"/>
          <w:sz w:val="32"/>
          <w:szCs w:val="32"/>
        </w:rPr>
        <w:t>参赛项目具有较好的创意和较为成型的产品原型或服务模式，在2020年5月31日（以下时间均包含当日）前尚未完成工商登记注册，并符合以下条件：</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1.参赛申报人须为团队负责人，须为普通高等学校在校生（可为本专科生、研究生，不含在职生）。</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2.学校科技成果转化项目不能参加创意组（科技成果的完成人、所有人中参赛申报人排名第一的除外）。</w:t>
      </w:r>
    </w:p>
    <w:p>
      <w:pPr>
        <w:pStyle w:val="6"/>
        <w:shd w:val="clear" w:color="auto" w:fill="FFFFFF"/>
        <w:snapToGrid w:val="0"/>
        <w:spacing w:line="560" w:lineRule="exact"/>
        <w:ind w:firstLine="643" w:firstLineChars="200"/>
        <w:rPr>
          <w:rFonts w:eastAsia="仿宋_GB2312"/>
          <w:color w:val="000000"/>
          <w:sz w:val="32"/>
          <w:szCs w:val="32"/>
        </w:rPr>
      </w:pPr>
      <w:r>
        <w:rPr>
          <w:rFonts w:eastAsia="楷体_GB2312"/>
          <w:b/>
          <w:color w:val="000000"/>
          <w:sz w:val="32"/>
          <w:szCs w:val="32"/>
        </w:rPr>
        <w:t>（二）初创组。</w:t>
      </w:r>
      <w:r>
        <w:rPr>
          <w:rFonts w:eastAsia="仿宋_GB2312"/>
          <w:color w:val="000000"/>
          <w:sz w:val="32"/>
          <w:szCs w:val="32"/>
        </w:rPr>
        <w:t>参赛项目工商登记注册未满3年（2017年3月1日后注册），且获机构或个人股权投资不超过1轮次，并符合以下条件：</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初创企业法人代表，须为普通高等学校在校生（可为本专科生、研究生，不含在职生），或毕业5年以内的毕业生（2015年之后毕业的本专科生、研究生，不含在职生）。企业法人代表在大赛通知发布之日后进行变更的不予认可。</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2.初创组项目的股权结构中，参赛企业法人代表的股权不得少于10%，参赛成员股权合计不得少于1/3。</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3.学校科技成果转化项目（不含基于</w:t>
      </w:r>
      <w:r>
        <w:rPr>
          <w:rFonts w:eastAsia="仿宋_GB2312"/>
          <w:sz w:val="32"/>
          <w:szCs w:val="32"/>
        </w:rPr>
        <w:t>国家级重大、重点科研项目</w:t>
      </w:r>
      <w:r>
        <w:rPr>
          <w:rFonts w:eastAsia="仿宋_GB2312"/>
          <w:color w:val="000000"/>
          <w:sz w:val="32"/>
          <w:szCs w:val="32"/>
        </w:rPr>
        <w:t>的科研成果转化项目）可以参加初创组，允许将拥有科研成果的教师的股权与学生所持股权合并计算，合并计算的股权不得少于51%（学生团队所持股权比例不得低于26%）。</w:t>
      </w:r>
    </w:p>
    <w:p>
      <w:pPr>
        <w:pStyle w:val="6"/>
        <w:shd w:val="clear" w:color="auto" w:fill="FFFFFF"/>
        <w:snapToGrid w:val="0"/>
        <w:spacing w:line="560" w:lineRule="exact"/>
        <w:ind w:firstLine="643" w:firstLineChars="200"/>
        <w:rPr>
          <w:rFonts w:eastAsia="仿宋_GB2312"/>
          <w:color w:val="000000"/>
          <w:sz w:val="32"/>
          <w:szCs w:val="32"/>
        </w:rPr>
      </w:pPr>
      <w:r>
        <w:rPr>
          <w:rFonts w:eastAsia="楷体_GB2312"/>
          <w:b/>
          <w:color w:val="000000"/>
          <w:sz w:val="32"/>
          <w:szCs w:val="32"/>
        </w:rPr>
        <w:t>（三）成长组。</w:t>
      </w:r>
      <w:r>
        <w:rPr>
          <w:rFonts w:eastAsia="仿宋_GB2312"/>
          <w:color w:val="000000"/>
          <w:sz w:val="32"/>
          <w:szCs w:val="32"/>
        </w:rPr>
        <w:t>参赛项目工商登记注册3年以上（2017年3月1日前注册）；或工商登记注册未满3年（2017年3月1日后注册），获机构或个人股权投资2轮次以上（含2轮次），并符合以下条件：</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企业法人代表，须为普通高等学校在校生（可为本专科生、研究生，不含在职生），或毕业5年以内的毕业生（2015年之后毕业的本专科生、研究生，不含在职生）。企业法人代表在大赛通知发布之日后进行变更的不予认可。</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2.成长组项目的股权结构中，参赛企业法人代表的股权不得少于10%，参赛成员股权合计不得少于1/3。</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3.学校科技成果转化项目（不含基于</w:t>
      </w:r>
      <w:r>
        <w:rPr>
          <w:rFonts w:eastAsia="仿宋_GB2312"/>
          <w:sz w:val="32"/>
          <w:szCs w:val="32"/>
        </w:rPr>
        <w:t>国家级重大、重点科研项目</w:t>
      </w:r>
      <w:r>
        <w:rPr>
          <w:rFonts w:eastAsia="仿宋_GB2312"/>
          <w:color w:val="000000"/>
          <w:sz w:val="32"/>
          <w:szCs w:val="32"/>
        </w:rPr>
        <w:t>的科研成果转化项目）可以参加成长组，允许将拥有科研成果的教师的股权与学生所持股权合并计算，合并计算的股权不得少于51%（学生团队所持股权比例不得低于26%）。</w:t>
      </w:r>
    </w:p>
    <w:p>
      <w:pPr>
        <w:pStyle w:val="6"/>
        <w:shd w:val="clear" w:color="auto" w:fill="FFFFFF"/>
        <w:snapToGrid w:val="0"/>
        <w:spacing w:line="560" w:lineRule="exact"/>
        <w:ind w:firstLine="643" w:firstLineChars="200"/>
        <w:rPr>
          <w:rFonts w:eastAsia="仿宋_GB2312"/>
          <w:color w:val="000000"/>
          <w:sz w:val="32"/>
          <w:szCs w:val="32"/>
        </w:rPr>
      </w:pPr>
      <w:r>
        <w:rPr>
          <w:rFonts w:eastAsia="楷体_GB2312"/>
          <w:b/>
          <w:color w:val="000000"/>
          <w:sz w:val="32"/>
          <w:szCs w:val="32"/>
        </w:rPr>
        <w:t>（四）师生共创组。</w:t>
      </w:r>
      <w:r>
        <w:rPr>
          <w:rFonts w:eastAsia="仿宋_GB2312"/>
          <w:sz w:val="32"/>
          <w:szCs w:val="32"/>
        </w:rPr>
        <w:t>基于国家级重大、重点科研项目的科研成果转化项目，或者教师与学生共同参与创业且教师所占权重比例大于学生（如已注册成立公司，教师持股比例大于学生）的项目参加师生共创组进行比赛。</w:t>
      </w:r>
      <w:r>
        <w:rPr>
          <w:rFonts w:eastAsia="仿宋_GB2312"/>
          <w:color w:val="000000"/>
          <w:sz w:val="32"/>
          <w:szCs w:val="32"/>
        </w:rPr>
        <w:t>并符合以下条件：</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1.参赛项目如已注册成立公司，公司注册年限不得超过5年（2015年3月1日后注册），师生均可为公司法人代表。企业法人代表在大赛通知发布之日后进行变更的不予认可。股权结构中，师生股权合并计算不低于51%，且学生参赛成员合计股份不低于10%。</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2.参赛申报人须为普通高等学校在校生（可为本专科生、研究生，不含在职生），或毕业5年以内的毕业生（2015年之后毕业的本专科生、研究生，不含在职生）。</w:t>
      </w:r>
    </w:p>
    <w:p>
      <w:pPr>
        <w:pStyle w:val="6"/>
        <w:shd w:val="clear" w:color="auto" w:fill="FFFFFF"/>
        <w:snapToGrid w:val="0"/>
        <w:spacing w:line="560" w:lineRule="exact"/>
        <w:ind w:firstLine="640" w:firstLineChars="200"/>
        <w:rPr>
          <w:rFonts w:eastAsia="仿宋_GB2312"/>
          <w:color w:val="000000"/>
          <w:sz w:val="32"/>
          <w:szCs w:val="32"/>
        </w:rPr>
      </w:pPr>
      <w:r>
        <w:rPr>
          <w:rFonts w:eastAsia="仿宋_GB2312"/>
          <w:color w:val="000000"/>
          <w:sz w:val="32"/>
          <w:szCs w:val="32"/>
        </w:rPr>
        <w:t>3.参赛项目中的教师须为高校在编教师（2020年6月1日前正式入职）。</w:t>
      </w:r>
    </w:p>
    <w:p>
      <w:pPr>
        <w:snapToGrid w:val="0"/>
        <w:spacing w:line="560" w:lineRule="exact"/>
        <w:jc w:val="center"/>
        <w:rPr>
          <w:rFonts w:eastAsia="方正小标宋简体"/>
          <w:color w:val="000000"/>
          <w:sz w:val="36"/>
          <w:szCs w:val="36"/>
        </w:rPr>
      </w:pPr>
      <w:r>
        <w:br w:type="page"/>
      </w:r>
      <w:r>
        <w:rPr>
          <w:rFonts w:eastAsia="方正小标宋简体"/>
          <w:color w:val="000000"/>
          <w:sz w:val="36"/>
          <w:szCs w:val="36"/>
        </w:rPr>
        <w:t>第六届中国国际“互联网+”大学生创新创业大赛</w:t>
      </w:r>
    </w:p>
    <w:p>
      <w:pPr>
        <w:snapToGrid w:val="0"/>
        <w:spacing w:line="560" w:lineRule="exact"/>
        <w:jc w:val="center"/>
        <w:rPr>
          <w:rFonts w:hint="eastAsia" w:eastAsia="方正小标宋简体"/>
          <w:color w:val="000000"/>
          <w:sz w:val="36"/>
          <w:szCs w:val="36"/>
          <w:lang w:eastAsia="zh-CN"/>
        </w:rPr>
      </w:pPr>
      <w:r>
        <w:rPr>
          <w:rFonts w:eastAsia="方正小标宋简体"/>
          <w:color w:val="000000"/>
          <w:sz w:val="36"/>
          <w:szCs w:val="36"/>
        </w:rPr>
        <w:t>“青年红色筑梦之旅”</w:t>
      </w:r>
      <w:r>
        <w:rPr>
          <w:rFonts w:hint="eastAsia" w:eastAsia="方正小标宋简体"/>
          <w:color w:val="000000"/>
          <w:sz w:val="36"/>
          <w:szCs w:val="36"/>
          <w:lang w:val="en-US" w:eastAsia="zh-CN"/>
        </w:rPr>
        <w:t>赛道介绍</w:t>
      </w:r>
    </w:p>
    <w:p>
      <w:pPr>
        <w:snapToGrid w:val="0"/>
        <w:spacing w:line="560" w:lineRule="exact"/>
        <w:jc w:val="center"/>
        <w:rPr>
          <w:rFonts w:eastAsia="仿宋_GB2312"/>
          <w:color w:val="000000"/>
          <w:sz w:val="32"/>
          <w:szCs w:val="36"/>
        </w:rPr>
      </w:pPr>
    </w:p>
    <w:p>
      <w:pPr>
        <w:snapToGrid w:val="0"/>
        <w:spacing w:line="560" w:lineRule="exact"/>
        <w:ind w:firstLine="640" w:firstLineChars="200"/>
        <w:rPr>
          <w:rFonts w:eastAsia="仿宋_GB2312"/>
          <w:color w:val="000000"/>
          <w:sz w:val="32"/>
          <w:szCs w:val="32"/>
        </w:rPr>
      </w:pPr>
      <w:r>
        <w:rPr>
          <w:rFonts w:eastAsia="仿宋_GB2312"/>
          <w:color w:val="000000"/>
          <w:sz w:val="32"/>
          <w:szCs w:val="32"/>
        </w:rPr>
        <w:t>第六届中国国际“互联网+”大学生创新创业大赛继续在更大范围、更高层次、更有温度、更深程度上开展“青年红色筑梦之旅”活动。</w:t>
      </w:r>
      <w:r>
        <w:rPr>
          <w:rFonts w:hint="eastAsia" w:eastAsia="仿宋_GB2312"/>
          <w:color w:val="000000"/>
          <w:sz w:val="32"/>
          <w:szCs w:val="32"/>
          <w:lang w:val="en-US" w:eastAsia="zh-CN"/>
        </w:rPr>
        <w:t>介绍</w:t>
      </w:r>
      <w:r>
        <w:rPr>
          <w:rFonts w:eastAsia="仿宋_GB2312"/>
          <w:color w:val="000000"/>
          <w:sz w:val="32"/>
          <w:szCs w:val="32"/>
        </w:rPr>
        <w:t>如下。</w:t>
      </w:r>
    </w:p>
    <w:p>
      <w:pPr>
        <w:snapToGrid w:val="0"/>
        <w:spacing w:line="560" w:lineRule="exact"/>
        <w:ind w:firstLine="640" w:firstLineChars="200"/>
        <w:rPr>
          <w:rFonts w:eastAsia="楷体_GB2312"/>
          <w:b/>
          <w:color w:val="000000"/>
          <w:sz w:val="32"/>
          <w:szCs w:val="32"/>
        </w:rPr>
      </w:pPr>
      <w:r>
        <w:rPr>
          <w:rFonts w:hAnsi="黑体" w:eastAsia="黑体"/>
          <w:bCs/>
          <w:sz w:val="32"/>
          <w:szCs w:val="32"/>
        </w:rPr>
        <w:t>一</w:t>
      </w:r>
      <w:r>
        <w:rPr>
          <w:rFonts w:hint="eastAsia" w:hAnsi="黑体" w:eastAsia="黑体"/>
          <w:bCs/>
          <w:sz w:val="32"/>
          <w:szCs w:val="32"/>
          <w:lang w:eastAsia="zh-CN"/>
        </w:rPr>
        <w:t>、</w:t>
      </w:r>
      <w:r>
        <w:rPr>
          <w:rFonts w:hAnsi="黑体" w:eastAsia="黑体"/>
          <w:bCs/>
          <w:sz w:val="32"/>
          <w:szCs w:val="32"/>
        </w:rPr>
        <w:t>参赛项目要求</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1.参加“青年红色筑梦之旅”赛道的项目应符合大赛参赛项目要求，同时在推进革命老区、贫困地区、城乡社区经济社会发展等方面有创新性、实效性和可持续性。</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参赛申报人须为团队负责人，须为普通高等学校在校生（可为本专科生、研究生，不含在职生），或毕业5年以内的毕业生（2015年之后毕业的本专科生、研究生，不含在职生）。企业法人代表在大赛通知发布之日后进行变更的不予认可。</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4.已获往届中国“互联网+”大学生创新创业大赛全国总决赛各赛道金奖和银奖项目，不可报名参加本届大赛。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5.没有参加本届“青年红色筑梦之旅”活动的项目不得参加“青年红色筑梦之旅”赛道比赛。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6.各省级教育行政部门、各有关学校负责审核参赛对象资格。</w:t>
      </w:r>
    </w:p>
    <w:p>
      <w:pPr>
        <w:snapToGrid w:val="0"/>
        <w:spacing w:line="560" w:lineRule="exact"/>
        <w:ind w:firstLine="640" w:firstLineChars="200"/>
        <w:rPr>
          <w:rFonts w:eastAsia="楷体_GB2312"/>
          <w:b/>
          <w:color w:val="000000"/>
          <w:sz w:val="32"/>
          <w:szCs w:val="32"/>
        </w:rPr>
      </w:pPr>
      <w:r>
        <w:rPr>
          <w:rFonts w:hAnsi="黑体" w:eastAsia="黑体"/>
          <w:bCs/>
          <w:sz w:val="32"/>
          <w:szCs w:val="32"/>
        </w:rPr>
        <w:t>二</w:t>
      </w:r>
      <w:r>
        <w:rPr>
          <w:rFonts w:hint="eastAsia" w:hAnsi="黑体" w:eastAsia="黑体"/>
          <w:bCs/>
          <w:sz w:val="32"/>
          <w:szCs w:val="32"/>
          <w:lang w:eastAsia="zh-CN"/>
        </w:rPr>
        <w:t>、</w:t>
      </w:r>
      <w:r>
        <w:rPr>
          <w:rFonts w:hAnsi="黑体" w:eastAsia="黑体"/>
          <w:bCs/>
          <w:sz w:val="32"/>
          <w:szCs w:val="32"/>
        </w:rPr>
        <w:t>参赛组别和对象</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根据项目性质和特点，分为公益组、商业组。</w:t>
      </w:r>
    </w:p>
    <w:p>
      <w:pPr>
        <w:snapToGrid w:val="0"/>
        <w:spacing w:line="540" w:lineRule="exact"/>
        <w:ind w:firstLine="643" w:firstLineChars="200"/>
        <w:rPr>
          <w:rFonts w:eastAsia="仿宋_GB2312"/>
          <w:b/>
          <w:color w:val="000000"/>
          <w:sz w:val="32"/>
          <w:szCs w:val="36"/>
        </w:rPr>
      </w:pPr>
      <w:r>
        <w:rPr>
          <w:rFonts w:eastAsia="仿宋_GB2312"/>
          <w:b/>
          <w:color w:val="000000"/>
          <w:sz w:val="32"/>
          <w:szCs w:val="36"/>
        </w:rPr>
        <w:t>1.公益组</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（1）参赛项目以社会价值为导向，在公益服务领域具有较好的创意、产品或服务模式的创业计划和实践。</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（2）参赛申报主体为独立的公益项目或者社会组织，注册或未注册成立公益机构（或社会组织）的项目均可参赛。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（3）师生共创的公益项目，若符合“青年红色筑梦之旅”赛道要求，可以参加该组。</w:t>
      </w:r>
    </w:p>
    <w:p>
      <w:pPr>
        <w:snapToGrid w:val="0"/>
        <w:spacing w:line="540" w:lineRule="exact"/>
        <w:ind w:firstLine="643" w:firstLineChars="200"/>
        <w:rPr>
          <w:rFonts w:eastAsia="仿宋_GB2312"/>
          <w:b/>
          <w:color w:val="000000"/>
          <w:sz w:val="32"/>
          <w:szCs w:val="36"/>
        </w:rPr>
      </w:pPr>
      <w:r>
        <w:rPr>
          <w:rFonts w:eastAsia="仿宋_GB2312"/>
          <w:b/>
          <w:color w:val="000000"/>
          <w:sz w:val="32"/>
          <w:szCs w:val="36"/>
        </w:rPr>
        <w:t>2.商业组</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（1）参赛项目以商业手段解决农业农村和城乡社区发展的</w:t>
      </w:r>
      <w:r>
        <w:fldChar w:fldCharType="begin"/>
      </w:r>
      <w:r>
        <w:instrText xml:space="preserve">HYPERLINK "https://wiki.mbalib.com/wiki/%E7%A4%BE%E4%BC%9A%E9%97%AE%E9%A2%98" \o "社会问题"</w:instrText>
      </w:r>
      <w:r>
        <w:fldChar w:fldCharType="separate"/>
      </w:r>
      <w:r>
        <w:rPr>
          <w:rFonts w:eastAsia="仿宋_GB2312"/>
          <w:color w:val="000000"/>
          <w:sz w:val="32"/>
          <w:szCs w:val="36"/>
        </w:rPr>
        <w:t>痛点问题</w:t>
      </w:r>
      <w:r>
        <w:fldChar w:fldCharType="end"/>
      </w:r>
      <w:r>
        <w:rPr>
          <w:rFonts w:eastAsia="仿宋_GB2312"/>
          <w:color w:val="000000"/>
          <w:sz w:val="32"/>
          <w:szCs w:val="36"/>
        </w:rPr>
        <w:t>、助力精准扶贫和乡村振兴，实现经济价值和社会价值的融合。</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（2）注册或未注册成立公司的项目均可参赛。已完成工商登记注册参赛项目的股权结构中，企业法人代表的股权不得少于10%，参赛成员股权合计不得少于1/3。如已注册成立机构或公司，学生须为法人代表。</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（3）师生共创的商业项目不能参加“青年红色筑梦之旅”赛道，可参加高教主赛道。</w:t>
      </w:r>
    </w:p>
    <w:p>
      <w:pPr>
        <w:spacing w:line="560" w:lineRule="exact"/>
        <w:rPr>
          <w:rFonts w:hint="eastAsia" w:ascii="仿宋_GB2312" w:eastAsia="仿宋_GB2312"/>
          <w:sz w:val="30"/>
          <w:szCs w:val="30"/>
        </w:rPr>
      </w:pPr>
    </w:p>
    <w:sectPr>
      <w:footerReference r:id="rId5" w:type="first"/>
      <w:footerReference r:id="rId3" w:type="default"/>
      <w:footerReference r:id="rId4" w:type="even"/>
      <w:pgSz w:w="11906" w:h="16838"/>
      <w:pgMar w:top="1814" w:right="1531" w:bottom="1814" w:left="1531" w:header="851" w:footer="1673"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sz w:val="28"/>
        <w:szCs w:val="28"/>
      </w:rPr>
    </w:pPr>
    <w:r>
      <w:rPr>
        <w:b/>
        <w:sz w:val="28"/>
        <w:szCs w:val="28"/>
      </w:rPr>
      <w:t xml:space="preserve">— </w:t>
    </w:r>
    <w:r>
      <w:rPr>
        <w:b/>
        <w:sz w:val="28"/>
        <w:szCs w:val="28"/>
      </w:rPr>
      <w:fldChar w:fldCharType="begin"/>
    </w:r>
    <w:r>
      <w:rPr>
        <w:b/>
        <w:sz w:val="28"/>
        <w:szCs w:val="28"/>
      </w:rPr>
      <w:instrText xml:space="preserve"> PAGE   \* MERGEFORMAT </w:instrText>
    </w:r>
    <w:r>
      <w:rPr>
        <w:b/>
        <w:sz w:val="28"/>
        <w:szCs w:val="28"/>
      </w:rPr>
      <w:fldChar w:fldCharType="separate"/>
    </w:r>
    <w:r>
      <w:rPr>
        <w:b/>
        <w:sz w:val="28"/>
        <w:szCs w:val="28"/>
        <w:lang w:val="zh-CN"/>
      </w:rPr>
      <w:t>28</w:t>
    </w:r>
    <w:r>
      <w:rPr>
        <w:b/>
        <w:sz w:val="28"/>
        <w:szCs w:val="28"/>
      </w:rPr>
      <w:fldChar w:fldCharType="end"/>
    </w:r>
    <w:r>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page">
                <wp:posOffset>932815</wp:posOffset>
              </wp:positionH>
              <wp:positionV relativeFrom="margin">
                <wp:posOffset>8407400</wp:posOffset>
              </wp:positionV>
              <wp:extent cx="5683885" cy="2540"/>
              <wp:effectExtent l="0" t="28575" r="12065" b="45085"/>
              <wp:wrapNone/>
              <wp:docPr id="11" name="直线 2"/>
              <wp:cNvGraphicFramePr/>
              <a:graphic xmlns:a="http://schemas.openxmlformats.org/drawingml/2006/main">
                <a:graphicData uri="http://schemas.microsoft.com/office/word/2010/wordprocessingShape">
                  <wps:wsp>
                    <wps:cNvCnPr/>
                    <wps:spPr>
                      <a:xfrm flipV="1">
                        <a:off x="0" y="0"/>
                        <a:ext cx="5683885" cy="254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73.45pt;margin-top:662pt;height:0.2pt;width:447.55pt;mso-position-horizontal-relative:page;mso-position-vertical-relative:margin;z-index:251658240;mso-width-relative:page;mso-height-relative:page;" filled="f" stroked="t" coordsize="21600,21600" o:gfxdata="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3EdFrYAAAADgEA&#10;AA8AAAAAAAAAAQAgAAAAIgAAAGRycy9kb3ducmV2LnhtbFBLAQIUABQAAAAIAIdO4kA/xOND4QEA&#10;AKIDAAAOAAAAAAAAAAEAIAAAACcBAABkcnMvZTJvRG9jLnhtbFBLBQYAAAAABgAGAFkBAAB6BQAA&#10;AAA=&#10;">
              <v:fill on="f" focussize="0,0"/>
              <v:stroke weight="4.5pt" color="#FF0000" linestyle="thinThick" joinstyle="round"/>
              <v:imagedata o:title=""/>
              <o:lock v:ext="edit" aspectratio="f"/>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6d51101d-9237-46af-b7bd-42d82f40cabe"/>
  </w:docVars>
  <w:rsids>
    <w:rsidRoot w:val="007B040B"/>
    <w:rsid w:val="00000EB6"/>
    <w:rsid w:val="000057C2"/>
    <w:rsid w:val="00041167"/>
    <w:rsid w:val="001244F5"/>
    <w:rsid w:val="00137ACD"/>
    <w:rsid w:val="00143532"/>
    <w:rsid w:val="00152E77"/>
    <w:rsid w:val="001558E1"/>
    <w:rsid w:val="001D72C5"/>
    <w:rsid w:val="001F457A"/>
    <w:rsid w:val="00201212"/>
    <w:rsid w:val="002218D2"/>
    <w:rsid w:val="00265046"/>
    <w:rsid w:val="00284407"/>
    <w:rsid w:val="00296FDC"/>
    <w:rsid w:val="002C04A5"/>
    <w:rsid w:val="002F37BA"/>
    <w:rsid w:val="00333B0B"/>
    <w:rsid w:val="003748E2"/>
    <w:rsid w:val="003F2176"/>
    <w:rsid w:val="004512DA"/>
    <w:rsid w:val="00474B90"/>
    <w:rsid w:val="00487B77"/>
    <w:rsid w:val="004A17A2"/>
    <w:rsid w:val="004F3828"/>
    <w:rsid w:val="00514533"/>
    <w:rsid w:val="00544AE6"/>
    <w:rsid w:val="00563000"/>
    <w:rsid w:val="00591080"/>
    <w:rsid w:val="00643383"/>
    <w:rsid w:val="006455FD"/>
    <w:rsid w:val="00646EB1"/>
    <w:rsid w:val="006561FF"/>
    <w:rsid w:val="00662AE9"/>
    <w:rsid w:val="00703179"/>
    <w:rsid w:val="007265C2"/>
    <w:rsid w:val="007804CF"/>
    <w:rsid w:val="007852A3"/>
    <w:rsid w:val="007B040B"/>
    <w:rsid w:val="008347DB"/>
    <w:rsid w:val="008D32D9"/>
    <w:rsid w:val="008E7F25"/>
    <w:rsid w:val="009047FD"/>
    <w:rsid w:val="0097402F"/>
    <w:rsid w:val="0097717C"/>
    <w:rsid w:val="009A45A7"/>
    <w:rsid w:val="00A0079F"/>
    <w:rsid w:val="00A20F36"/>
    <w:rsid w:val="00A4628A"/>
    <w:rsid w:val="00A47EF6"/>
    <w:rsid w:val="00A7209A"/>
    <w:rsid w:val="00AB2191"/>
    <w:rsid w:val="00AB2770"/>
    <w:rsid w:val="00AB5836"/>
    <w:rsid w:val="00AD1F7D"/>
    <w:rsid w:val="00AD7AFE"/>
    <w:rsid w:val="00B05126"/>
    <w:rsid w:val="00B720E2"/>
    <w:rsid w:val="00B94D34"/>
    <w:rsid w:val="00BA6F3F"/>
    <w:rsid w:val="00BB2F4E"/>
    <w:rsid w:val="00BB4634"/>
    <w:rsid w:val="00BF180D"/>
    <w:rsid w:val="00BF7E5C"/>
    <w:rsid w:val="00C35C4C"/>
    <w:rsid w:val="00CD5ED6"/>
    <w:rsid w:val="00D408F5"/>
    <w:rsid w:val="00DD11B8"/>
    <w:rsid w:val="00DD24FB"/>
    <w:rsid w:val="00DF1229"/>
    <w:rsid w:val="00E7287F"/>
    <w:rsid w:val="00F00C7F"/>
    <w:rsid w:val="00F22D29"/>
    <w:rsid w:val="00F40BF9"/>
    <w:rsid w:val="00FF0508"/>
    <w:rsid w:val="421952AC"/>
    <w:rsid w:val="5228604C"/>
    <w:rsid w:val="77CB66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annotation text"/>
    <w:basedOn w:val="1"/>
    <w:link w:val="13"/>
    <w:uiPriority w:val="99"/>
    <w:pPr>
      <w:jc w:val="left"/>
    </w:pPr>
    <w:rPr>
      <w:szCs w:val="22"/>
    </w:rPr>
  </w:style>
  <w:style w:type="paragraph" w:styleId="3">
    <w:name w:val="Balloon Text"/>
    <w:basedOn w:val="1"/>
    <w:link w:val="14"/>
    <w:uiPriority w:val="0"/>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rPr>
      <w:sz w:val="24"/>
    </w:rPr>
  </w:style>
  <w:style w:type="paragraph" w:styleId="7">
    <w:name w:val="annotation subject"/>
    <w:basedOn w:val="2"/>
    <w:next w:val="2"/>
    <w:link w:val="16"/>
    <w:uiPriority w:val="0"/>
    <w:rPr>
      <w:b/>
      <w:bCs/>
    </w:rPr>
  </w:style>
  <w:style w:type="character" w:styleId="10">
    <w:name w:val="Hyperlink"/>
    <w:basedOn w:val="9"/>
    <w:uiPriority w:val="0"/>
    <w:rPr>
      <w:color w:val="0000FF"/>
      <w:u w:val="single"/>
    </w:rPr>
  </w:style>
  <w:style w:type="character" w:styleId="11">
    <w:name w:val="annotation reference"/>
    <w:basedOn w:val="9"/>
    <w:uiPriority w:val="0"/>
    <w:rPr>
      <w:sz w:val="21"/>
      <w:szCs w:val="21"/>
    </w:rPr>
  </w:style>
  <w:style w:type="character" w:customStyle="1" w:styleId="12">
    <w:name w:val="页脚 Char"/>
    <w:basedOn w:val="9"/>
    <w:link w:val="4"/>
    <w:uiPriority w:val="99"/>
    <w:rPr>
      <w:kern w:val="2"/>
      <w:sz w:val="18"/>
      <w:szCs w:val="18"/>
    </w:rPr>
  </w:style>
  <w:style w:type="character" w:customStyle="1" w:styleId="13">
    <w:name w:val="批注文字 Char"/>
    <w:basedOn w:val="9"/>
    <w:link w:val="2"/>
    <w:uiPriority w:val="99"/>
    <w:rPr>
      <w:kern w:val="2"/>
      <w:sz w:val="21"/>
      <w:szCs w:val="22"/>
    </w:rPr>
  </w:style>
  <w:style w:type="character" w:customStyle="1" w:styleId="14">
    <w:name w:val="批注框文本 Char"/>
    <w:basedOn w:val="9"/>
    <w:link w:val="3"/>
    <w:uiPriority w:val="0"/>
    <w:rPr>
      <w:kern w:val="2"/>
      <w:sz w:val="18"/>
      <w:szCs w:val="18"/>
    </w:rPr>
  </w:style>
  <w:style w:type="character" w:customStyle="1" w:styleId="15">
    <w:name w:val="页眉 Char"/>
    <w:basedOn w:val="9"/>
    <w:link w:val="5"/>
    <w:uiPriority w:val="0"/>
    <w:rPr>
      <w:kern w:val="2"/>
      <w:sz w:val="18"/>
      <w:szCs w:val="18"/>
    </w:rPr>
  </w:style>
  <w:style w:type="character" w:customStyle="1" w:styleId="16">
    <w:name w:val="批注主题 Char"/>
    <w:basedOn w:val="13"/>
    <w:link w:val="7"/>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1940</Words>
  <Characters>11062</Characters>
  <Lines>92</Lines>
  <Paragraphs>25</Paragraphs>
  <TotalTime>17</TotalTime>
  <ScaleCrop>false</ScaleCrop>
  <LinksUpToDate>false</LinksUpToDate>
  <CharactersWithSpaces>12977</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2020-06-03T08:15:00Z</dcterms:created>
  <dc:creator>系统管理员</dc:creator>
  <cp:lastModifiedBy>结网捕鱼</cp:lastModifiedBy>
  <dcterms:modified xsi:type="dcterms:W3CDTF">2020-09-23T08:41:03Z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