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rFonts w:ascii="微软雅黑" w:hAnsi="微软雅黑" w:eastAsia="微软雅黑" w:cs="微软雅黑"/>
          <w:b/>
          <w:color w:val="4B4B4B"/>
          <w:sz w:val="24"/>
          <w:szCs w:val="24"/>
        </w:rPr>
      </w:pPr>
      <w:bookmarkStart w:id="0" w:name="_GoBack"/>
      <w:r>
        <w:rPr>
          <w:rFonts w:hint="eastAsia" w:ascii="微软雅黑" w:hAnsi="微软雅黑" w:eastAsia="微软雅黑" w:cs="微软雅黑"/>
          <w:b/>
          <w:color w:val="4B4B4B"/>
          <w:sz w:val="24"/>
          <w:szCs w:val="24"/>
          <w:bdr w:val="none" w:color="auto" w:sz="0" w:space="0"/>
          <w:shd w:val="clear" w:fill="FFFFFF"/>
        </w:rPr>
        <w:t>教育部关于2019—2021年基础学科拔尖学生培养基地建设工作的通知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84" w:lineRule="atLeast"/>
        <w:ind w:left="0" w:right="0"/>
        <w:jc w:val="right"/>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教高函〔2019〕14号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为贯彻全国教育大会精神，根据《教育部关于加快建设高水平本科教育全面提高人才培养能力的意见》《教育部等六部门关于实施基础学科拔尖学生培养计划2.0的意见》等相关文件精神，深入实施基础学科拔尖学生培养计划2.0（以下简称拔尖计划2.0），加快培养基础学科拔尖人才。经研究，现就2019—2021年基础学科拔尖学生培养基地建设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以习近平新时代中国特色社会主义思想为指导，深入贯彻党的十九大精神，落实全国教育大会精神，全面落实新时代全国高等学校本科教育工作会议精神，坚持立德树人，遵循基础学科拔尖创新人才成长规律，以体制机制创新和教育教学改革为重点，强化使命驱动，注重大师引领，创新学习方式，提升综合素养，促进学科交叉、科教融合，深化国际合作，科学选才鉴才相结合，进一步拓围、增量、提质、创新，对标国际先进水平，建设基础学科拔尖学生培养一流基地，着力培养未来的杰出自然科学家、社会科学家和医学科学家，提升国家硬实力、软实力和健康力，为把我国建设成为世界主要科学中心和创新高地奠定人才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二、建设目标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2019—2021年，分年度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中国特色、世界水平的基础学科拔尖人才培养体系，促进一批勇攀科学高峰、推动科学文化发展的优秀拔尖人才崭露头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坚持超前规划，长远布局。面向国家战略需求、人类未来发展、思想文化创新和基础学科前沿，超前谋划基础学科拔尖人才培养。尊重拔尖人才成长规律，坚持长周期支持、长周期观测、长周期评价，立足长远、厚植土壤、注重培育，从长计议、循序渐进、持续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坚持学校主体，协同联动。以学校为培养主体，鼓励自主化、多元化探索，加大校内政策、资源整合力度，建好基础学科拔尖学生培养基地。建立有关政府部门、事业单位、人民团体等多方联动的协同工作机制，统筹优质资源，提供良好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坚持聚焦中心，特色发展。以人才培养为核心，推进改革、汇聚大师、整合资源，努力构建中国特色、世界水平的基础学科拔尖人才培养体系。鼓励学校基于学科特点，在自然科学、哲学社会科学、基础医学三个领域开展自主探索、实现特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坚持继承创新，开放交融。在前期探索的“一制三化”（导师制、小班化、个性化、国际化）等有效模式基础上，进一步推动制度创新、模式创新、机制创新，探索基础学科拔尖人才培养的中国方案。坚持国际标准，推动国内外双向合作，注重学科交叉、科教融合，促进学生中西融汇、古今贯通、文理渗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四、建设任务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基础学科拔尖学生培养基地是高校实施拔尖计划2.0的具体载体。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国家教学、科研任务的需要，组建的跨学科人才培养基地或其他教学实体。基础学科拔尖学生培养基地要坚持学生中心、持续改进的理念，加大拔尖创新人才培养的改革创新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一）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二）精心育才。加强思想政治教育和素质教育，培育爱国主义、科学道德、批判精神和创新精神等，使学生明大德、守公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三）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五、建设规划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（一）实施范围。数学、物理学、化学、生物科学、计算机科学、天文学、地理科学、大气科学、海洋科学、地球物理学、地质学、心理学、基础医学、哲学、经济学、中国语言文学、历史学。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（二）基地数量。2019—2021年，拟遴选建设260个基础学科拔尖学生培养基地，包括190个左右的理科基地、60个左右的文科基地以及10个左右的医科基地（分年度规划见附表）。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（三）培养规模。基础学科拔尖学生培养基地获批建设后，每个基地每年的招生人数原则上不超过20人。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（四）建设方式。采取高校试点先行、申报遴选、长期支持的方式，按建设规划分年度遴选基础学科拔尖学生培养基地。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w:t>
      </w:r>
      <w:r>
        <w:rPr>
          <w:rFonts w:hint="eastAsia" w:ascii="宋体" w:hAnsi="宋体" w:eastAsia="宋体" w:cs="宋体"/>
          <w:b/>
          <w:color w:val="4B4B4B"/>
          <w:sz w:val="24"/>
          <w:szCs w:val="24"/>
          <w:bdr w:val="none" w:color="auto" w:sz="0" w:space="0"/>
          <w:shd w:val="clear" w:fill="FFFFFF"/>
        </w:rPr>
        <w:t>六、组织管理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一）统筹规划、梯次实施。根据国家经济社会发展长远需求，按照“六卓越一拔尖”计划2.0总体实施方案具体安排，教育部负责宏观指导，统筹编制基础学科拔尖学生培养基地建设规划，组建相关工作组织和专家委员会，协调国家有关部门提供配套政策支持。教育部高等教育司负责具体年度建设工作的部署，组织基础学科拔尖学生培养基地申报遴选；组织或委托相关机构或专家组织开展政策研究、人才培养机制研究等工作，实施基础学科拔尖学生培养基地跟踪监测和综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　　（二）主动作为、改革创新。相关高校是基础学科拔尖学生培养基地的建设主体，要将基地建设纳入学校总体规划，加强组织保障、政策保障和经费保障。要建立健全学生、教师、教学管理制度体系，统筹科学研究、社会实践、国际交流等各类资源，完善经费投入、使用、监管等机制，建设信息化资源和管理平台，形成有利于基础学科拔尖人才培养的优渥环境。对建设质量不高、出现严重问题的基地将进行动态调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rPr>
          <w:rFonts w:hint="eastAsia" w:ascii="宋体" w:hAnsi="宋体" w:eastAsia="宋体" w:cs="宋体"/>
          <w:color w:val="4B4B4B"/>
          <w:sz w:val="24"/>
          <w:szCs w:val="24"/>
        </w:rPr>
      </w:pPr>
      <w:r>
        <w:rPr>
          <w:rFonts w:hint="eastAsia" w:ascii="宋体" w:hAnsi="宋体" w:eastAsia="宋体" w:cs="宋体"/>
          <w:color w:val="4B4B4B"/>
          <w:sz w:val="24"/>
          <w:szCs w:val="24"/>
          <w:bdr w:val="none" w:color="auto" w:sz="0" w:space="0"/>
          <w:shd w:val="clear" w:fill="FFFFFF"/>
        </w:rPr>
        <w:t>2019年8月20日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D7C3A"/>
    <w:rsid w:val="24ED7C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8">
    <w:name w:val="hover21"/>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2020-09-28T08:52:00Z</dcterms:created>
  <dc:creator>??</dc:creator>
  <cp:lastModifiedBy>??</cp:lastModifiedBy>
  <dcterms:modified xsi:type="dcterms:W3CDTF">2020-09-28T08:53:44Z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