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附件</w:t>
      </w:r>
      <w:r>
        <w:rPr>
          <w:rFonts w:hint="eastAsia" w:ascii="宋体" w:hAnsi="宋体" w:eastAsia="宋体" w:cs="Times New Roman"/>
          <w:sz w:val="28"/>
          <w:szCs w:val="28"/>
        </w:rPr>
        <w:t>1</w:t>
      </w:r>
    </w:p>
    <w:p>
      <w:pPr>
        <w:spacing w:line="300" w:lineRule="auto"/>
        <w:jc w:val="center"/>
        <w:rPr>
          <w:rFonts w:ascii="等线" w:hAnsi="等线" w:eastAsia="黑体" w:cs="Times New Roman"/>
          <w:sz w:val="36"/>
          <w:szCs w:val="36"/>
        </w:rPr>
      </w:pPr>
      <w:r>
        <w:rPr>
          <w:rFonts w:hint="eastAsia" w:ascii="等线" w:hAnsi="等线" w:eastAsia="黑体" w:cs="Times New Roman"/>
          <w:sz w:val="36"/>
          <w:szCs w:val="36"/>
        </w:rPr>
        <w:t>江苏高校教师教学能力建设</w:t>
      </w:r>
    </w:p>
    <w:p>
      <w:pPr>
        <w:spacing w:line="300" w:lineRule="auto"/>
        <w:jc w:val="center"/>
        <w:rPr>
          <w:rFonts w:ascii="等线" w:hAnsi="等线" w:eastAsia="黑体" w:cs="Times New Roman"/>
          <w:sz w:val="36"/>
          <w:szCs w:val="36"/>
        </w:rPr>
      </w:pPr>
      <w:r>
        <w:rPr>
          <w:rFonts w:hint="eastAsia" w:ascii="等线" w:hAnsi="等线" w:eastAsia="黑体" w:cs="Times New Roman"/>
          <w:sz w:val="36"/>
          <w:szCs w:val="36"/>
        </w:rPr>
        <w:t>教学研修课程模块</w:t>
      </w:r>
    </w:p>
    <w:p/>
    <w:tbl>
      <w:tblPr>
        <w:tblStyle w:val="2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440"/>
        <w:gridCol w:w="6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研修</w:t>
            </w: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  <w:t>内容说明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教师队伍管理政策法规、教师综合素养、教学名师谈、青年教师成长等。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思政课程改革和专业课程思政建设优秀案例、高校教师课程思政建设能力专题培训。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教学技能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教学板书、教学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PPT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制作、教学发声训练、沟通表达、教态仪容等。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一流课程建设、教学设计、研究性教学、混合式教学、案例教学、研讨式教学、实践实验教学等。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教材建设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马工程教材研究、优秀教材和新形态教材建设案例、教材使用与管理等。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教学评价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评价素养、评价方法与手段、基于OBE理念的质量持续改进机制、评学、评教、评课等。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教学学术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理论探究、教学研究、名校经验等。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教学竞赛研究、参赛经验总分享、获奖视频展示等。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课件中的多媒体与动画应用技术、编辑教学音视频、慕课/微课的设计、开发与应用、常见课堂师生互动应用软件入门、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AR/VR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等智慧教学工具应用等。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1</w:t>
            </w:r>
            <w:r>
              <w:rPr>
                <w:rFonts w:ascii="等线" w:hAnsi="等线" w:eastAsia="等线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等线" w:hAnsi="等线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华文中宋" w:cs="Times New Roman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6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人才培养方案制定、教师教学规范、基层教学组织建设、教学管理模式改革、书院制、导师制、学分制、优秀班主任/辅导员成长之路、三全育人实践案例等。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45D5"/>
    <w:rsid w:val="6F20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2022-04-26T09:31:00Z</dcterms:created>
  <dc:creator>carol</dc:creator>
  <cp:lastModifiedBy>carol</cp:lastModifiedBy>
  <dcterms:modified xsi:type="dcterms:W3CDTF">2022-04-26T09:32:22Z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EC19E8DD83014D899DD0954D385C20FE</vt:lpwstr>
  </property>
</Properties>
</file>