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bookmarkStart w:id="0" w:name="_Toc332582662"/>
      <w:bookmarkStart w:id="1" w:name="_Toc351328873"/>
      <w:bookmarkStart w:id="2" w:name="_Toc331359578"/>
      <w:r>
        <w:rPr>
          <w:rFonts w:hint="eastAsia" w:ascii="黑体" w:hAnsi="黑体" w:eastAsia="黑体"/>
          <w:sz w:val="32"/>
          <w:szCs w:val="32"/>
        </w:rPr>
        <w:t>附件2：</w:t>
      </w:r>
    </w:p>
    <w:p>
      <w:pPr>
        <w:rPr>
          <w:rFonts w:ascii="黑体" w:hAnsi="黑体" w:eastAsia="黑体"/>
          <w:sz w:val="32"/>
          <w:szCs w:val="32"/>
        </w:rPr>
      </w:pPr>
    </w:p>
    <w:bookmarkEnd w:id="0"/>
    <w:bookmarkEnd w:id="1"/>
    <w:bookmarkEnd w:id="2"/>
    <w:p>
      <w:pPr>
        <w:pStyle w:val="2"/>
        <w:spacing w:line="360" w:lineRule="auto"/>
        <w:jc w:val="center"/>
        <w:rPr>
          <w:rFonts w:eastAsia="黑体"/>
          <w:sz w:val="44"/>
          <w:szCs w:val="44"/>
        </w:rPr>
      </w:pPr>
      <w:bookmarkStart w:id="3" w:name="_Toc383654307"/>
      <w:r>
        <w:rPr>
          <w:rFonts w:hint="eastAsia" w:eastAsia="黑体"/>
          <w:sz w:val="44"/>
          <w:szCs w:val="44"/>
        </w:rPr>
        <w:t>工程教育认证申请书</w:t>
      </w:r>
      <w:bookmarkEnd w:id="3"/>
    </w:p>
    <w:p>
      <w:pPr>
        <w:spacing w:line="360" w:lineRule="auto"/>
        <w:jc w:val="center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（</w:t>
      </w:r>
      <w:r>
        <w:rPr>
          <w:rFonts w:ascii="Times New Roman" w:hAnsi="Times New Roman" w:eastAsia="仿宋_GB2312"/>
          <w:sz w:val="30"/>
          <w:szCs w:val="30"/>
        </w:rPr>
        <w:t>201</w:t>
      </w:r>
      <w:r>
        <w:rPr>
          <w:rFonts w:hint="eastAsia" w:ascii="Times New Roman" w:hAnsi="Times New Roman" w:eastAsia="仿宋_GB2312"/>
          <w:sz w:val="30"/>
          <w:szCs w:val="30"/>
        </w:rPr>
        <w:t>8版）</w:t>
      </w:r>
    </w:p>
    <w:p>
      <w:pPr>
        <w:spacing w:line="360" w:lineRule="auto"/>
        <w:jc w:val="center"/>
        <w:rPr>
          <w:rFonts w:ascii="Times New Roman" w:hAnsi="Times New Roman" w:eastAsia="仿宋_GB2312"/>
          <w:sz w:val="30"/>
          <w:szCs w:val="30"/>
        </w:rPr>
      </w:pPr>
    </w:p>
    <w:p>
      <w:pPr>
        <w:spacing w:line="360" w:lineRule="auto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中国工程教育专业认证协会秘书处：</w:t>
      </w:r>
    </w:p>
    <w:p>
      <w:pPr>
        <w:spacing w:line="360" w:lineRule="auto"/>
        <w:ind w:firstLine="600" w:firstLineChars="200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根据《工程教育认证办法》有关认证申请资格的规定，我校以下专业满足申请条件，现申请参加工程教育认证。</w:t>
      </w:r>
    </w:p>
    <w:p>
      <w:pPr>
        <w:spacing w:line="360" w:lineRule="auto"/>
        <w:ind w:firstLine="735" w:firstLineChars="245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申请认证学校：</w:t>
      </w: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中国矿业大学</w:t>
      </w:r>
    </w:p>
    <w:p>
      <w:pPr>
        <w:spacing w:line="360" w:lineRule="auto"/>
        <w:ind w:firstLine="735" w:firstLineChars="245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申请认证专业：</w:t>
      </w:r>
    </w:p>
    <w:p>
      <w:pPr>
        <w:spacing w:line="360" w:lineRule="auto"/>
        <w:ind w:firstLine="735" w:firstLineChars="245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申请书所有材料完全属实，特此承诺。</w:t>
      </w:r>
    </w:p>
    <w:p>
      <w:pPr>
        <w:spacing w:line="360" w:lineRule="auto"/>
        <w:ind w:firstLine="686"/>
        <w:rPr>
          <w:rFonts w:ascii="Times New Roman" w:hAnsi="Times New Roman" w:eastAsia="仿宋_GB2312"/>
          <w:b/>
          <w:sz w:val="30"/>
          <w:szCs w:val="30"/>
        </w:rPr>
      </w:pPr>
    </w:p>
    <w:p>
      <w:pPr>
        <w:spacing w:line="360" w:lineRule="auto"/>
        <w:ind w:firstLine="686"/>
        <w:rPr>
          <w:rFonts w:ascii="Times New Roman" w:hAnsi="Times New Roman" w:eastAsia="仿宋_GB2312"/>
          <w:b/>
          <w:sz w:val="30"/>
          <w:szCs w:val="30"/>
        </w:rPr>
      </w:pPr>
      <w:r>
        <w:rPr>
          <w:rFonts w:hint="eastAsia" w:ascii="Times New Roman" w:hAnsi="Times New Roman" w:eastAsia="仿宋_GB2312"/>
          <w:b/>
          <w:sz w:val="30"/>
          <w:szCs w:val="30"/>
        </w:rPr>
        <w:t>附表与资料：</w:t>
      </w:r>
    </w:p>
    <w:p>
      <w:pPr>
        <w:spacing w:line="360" w:lineRule="auto"/>
        <w:ind w:left="420" w:leftChars="200" w:firstLine="686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一、学校及专业联系人</w:t>
      </w:r>
    </w:p>
    <w:p>
      <w:pPr>
        <w:spacing w:line="360" w:lineRule="auto"/>
        <w:ind w:left="420" w:leftChars="200" w:firstLine="686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二、学校及专业简介</w:t>
      </w:r>
    </w:p>
    <w:p>
      <w:pPr>
        <w:spacing w:line="360" w:lineRule="auto"/>
        <w:ind w:left="420" w:leftChars="200" w:firstLine="686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三、专业的培养目标和毕业要求</w:t>
      </w:r>
    </w:p>
    <w:p>
      <w:pPr>
        <w:spacing w:line="360" w:lineRule="auto"/>
        <w:ind w:left="420" w:leftChars="200" w:firstLine="686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四、专业状态数据表</w:t>
      </w:r>
    </w:p>
    <w:p>
      <w:pPr>
        <w:spacing w:line="360" w:lineRule="auto"/>
        <w:ind w:left="420" w:leftChars="200" w:firstLine="686"/>
        <w:rPr>
          <w:rFonts w:ascii="Times New Roman" w:hAnsi="Times New Roman" w:eastAsia="仿宋_GB2312"/>
          <w:sz w:val="30"/>
          <w:szCs w:val="30"/>
        </w:rPr>
      </w:pPr>
      <w:r>
        <w:rPr>
          <w:rFonts w:hint="eastAsia" w:ascii="Times New Roman" w:hAnsi="Times New Roman" w:eastAsia="仿宋_GB2312"/>
          <w:sz w:val="30"/>
          <w:szCs w:val="30"/>
        </w:rPr>
        <w:t>五、其它材料</w:t>
      </w:r>
    </w:p>
    <w:p>
      <w:pPr>
        <w:spacing w:line="360" w:lineRule="auto"/>
        <w:ind w:right="420"/>
        <w:rPr>
          <w:rFonts w:ascii="Times New Roman" w:hAnsi="Times New Roman" w:eastAsia="仿宋_GB2312"/>
          <w:spacing w:val="-6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ab/>
      </w:r>
      <w:r>
        <w:rPr>
          <w:rFonts w:ascii="Times New Roman" w:hAnsi="Times New Roman" w:eastAsia="仿宋_GB2312"/>
          <w:sz w:val="30"/>
          <w:szCs w:val="30"/>
        </w:rPr>
        <w:tab/>
      </w:r>
      <w:r>
        <w:rPr>
          <w:rFonts w:ascii="Times New Roman" w:hAnsi="Times New Roman" w:eastAsia="仿宋_GB2312"/>
          <w:sz w:val="30"/>
          <w:szCs w:val="30"/>
        </w:rPr>
        <w:tab/>
      </w:r>
      <w:r>
        <w:rPr>
          <w:rFonts w:ascii="Times New Roman" w:hAnsi="Times New Roman" w:eastAsia="仿宋_GB2312"/>
          <w:sz w:val="30"/>
          <w:szCs w:val="30"/>
        </w:rPr>
        <w:tab/>
      </w:r>
      <w:r>
        <w:rPr>
          <w:rFonts w:ascii="Times New Roman" w:hAnsi="Times New Roman" w:eastAsia="仿宋_GB2312"/>
          <w:sz w:val="30"/>
          <w:szCs w:val="30"/>
        </w:rPr>
        <w:tab/>
      </w:r>
      <w:r>
        <w:rPr>
          <w:rFonts w:ascii="Times New Roman" w:hAnsi="Times New Roman" w:eastAsia="仿宋_GB2312"/>
          <w:sz w:val="30"/>
          <w:szCs w:val="30"/>
        </w:rPr>
        <w:tab/>
      </w:r>
      <w:r>
        <w:rPr>
          <w:rFonts w:ascii="Times New Roman" w:hAnsi="Times New Roman" w:eastAsia="仿宋_GB2312"/>
          <w:sz w:val="30"/>
          <w:szCs w:val="30"/>
        </w:rPr>
        <w:tab/>
      </w:r>
      <w:r>
        <w:rPr>
          <w:rFonts w:ascii="Times New Roman" w:hAnsi="Times New Roman" w:eastAsia="仿宋_GB2312"/>
          <w:sz w:val="30"/>
          <w:szCs w:val="30"/>
        </w:rPr>
        <w:tab/>
      </w:r>
      <w:r>
        <w:rPr>
          <w:rFonts w:ascii="Times New Roman" w:hAnsi="Times New Roman" w:eastAsia="仿宋_GB2312"/>
          <w:sz w:val="30"/>
          <w:szCs w:val="30"/>
        </w:rPr>
        <w:tab/>
      </w:r>
      <w:r>
        <w:rPr>
          <w:rFonts w:ascii="Times New Roman" w:hAnsi="Times New Roman" w:eastAsia="仿宋_GB2312"/>
          <w:sz w:val="30"/>
          <w:szCs w:val="30"/>
        </w:rPr>
        <w:tab/>
      </w:r>
    </w:p>
    <w:p>
      <w:pPr>
        <w:spacing w:line="360" w:lineRule="auto"/>
        <w:ind w:right="420" w:firstLine="3744" w:firstLineChars="1300"/>
        <w:rPr>
          <w:rFonts w:ascii="Times New Roman" w:hAnsi="Times New Roman" w:eastAsia="仿宋_GB2312"/>
          <w:spacing w:val="-6"/>
          <w:sz w:val="30"/>
          <w:szCs w:val="30"/>
        </w:rPr>
      </w:pPr>
      <w:r>
        <w:rPr>
          <w:rFonts w:hint="eastAsia" w:ascii="Times New Roman" w:hAnsi="Times New Roman" w:eastAsia="仿宋_GB2312"/>
          <w:spacing w:val="-6"/>
          <w:sz w:val="30"/>
          <w:szCs w:val="30"/>
        </w:rPr>
        <w:t>学校（盖章）：</w:t>
      </w:r>
    </w:p>
    <w:p>
      <w:pPr>
        <w:wordWrap w:val="0"/>
        <w:spacing w:line="360" w:lineRule="auto"/>
        <w:ind w:right="536" w:firstLine="4752" w:firstLineChars="1650"/>
        <w:rPr>
          <w:rFonts w:ascii="Times New Roman" w:hAnsi="Times New Roman" w:eastAsia="仿宋_GB2312"/>
          <w:spacing w:val="-6"/>
          <w:sz w:val="30"/>
          <w:szCs w:val="30"/>
        </w:rPr>
      </w:pPr>
      <w:r>
        <w:rPr>
          <w:rFonts w:hint="eastAsia" w:ascii="Times New Roman" w:hAnsi="Times New Roman" w:eastAsia="仿宋_GB2312"/>
          <w:spacing w:val="-6"/>
          <w:sz w:val="30"/>
          <w:szCs w:val="30"/>
          <w:lang w:val="en-US" w:eastAsia="zh-CN"/>
        </w:rPr>
        <w:t xml:space="preserve">2017 </w:t>
      </w:r>
      <w:r>
        <w:rPr>
          <w:rFonts w:hint="eastAsia" w:ascii="Times New Roman" w:hAnsi="Times New Roman" w:eastAsia="仿宋_GB2312"/>
          <w:spacing w:val="-6"/>
          <w:sz w:val="30"/>
          <w:szCs w:val="30"/>
        </w:rPr>
        <w:t>年</w:t>
      </w:r>
      <w:r>
        <w:rPr>
          <w:rFonts w:ascii="Times New Roman" w:hAnsi="Times New Roman" w:eastAsia="仿宋_GB2312"/>
          <w:spacing w:val="-6"/>
          <w:sz w:val="30"/>
          <w:szCs w:val="30"/>
        </w:rPr>
        <w:t xml:space="preserve"> </w:t>
      </w:r>
      <w:r>
        <w:rPr>
          <w:rFonts w:hint="eastAsia" w:ascii="Times New Roman" w:hAnsi="Times New Roman" w:eastAsia="仿宋_GB2312"/>
          <w:spacing w:val="-6"/>
          <w:sz w:val="30"/>
          <w:szCs w:val="30"/>
          <w:lang w:val="en-US" w:eastAsia="zh-CN"/>
        </w:rPr>
        <w:t>9</w:t>
      </w:r>
      <w:r>
        <w:rPr>
          <w:rFonts w:hint="eastAsia" w:ascii="Times New Roman" w:hAnsi="Times New Roman" w:eastAsia="仿宋_GB2312"/>
          <w:spacing w:val="-6"/>
          <w:sz w:val="30"/>
          <w:szCs w:val="30"/>
        </w:rPr>
        <w:t>月</w:t>
      </w:r>
      <w:r>
        <w:rPr>
          <w:rFonts w:ascii="Times New Roman" w:hAnsi="Times New Roman" w:eastAsia="仿宋_GB2312"/>
          <w:spacing w:val="-6"/>
          <w:sz w:val="30"/>
          <w:szCs w:val="30"/>
        </w:rPr>
        <w:t xml:space="preserve"> </w:t>
      </w:r>
      <w:r>
        <w:rPr>
          <w:rFonts w:hint="eastAsia" w:ascii="Times New Roman" w:hAnsi="Times New Roman" w:eastAsia="仿宋_GB2312"/>
          <w:spacing w:val="-6"/>
          <w:sz w:val="30"/>
          <w:szCs w:val="30"/>
          <w:lang w:val="en-US" w:eastAsia="zh-CN"/>
        </w:rPr>
        <w:t>28</w:t>
      </w:r>
      <w:r>
        <w:rPr>
          <w:rFonts w:ascii="Times New Roman" w:hAnsi="Times New Roman" w:eastAsia="仿宋_GB2312"/>
          <w:spacing w:val="-6"/>
          <w:sz w:val="30"/>
          <w:szCs w:val="30"/>
        </w:rPr>
        <w:t xml:space="preserve"> </w:t>
      </w:r>
      <w:r>
        <w:rPr>
          <w:rFonts w:hint="eastAsia" w:ascii="Times New Roman" w:hAnsi="Times New Roman" w:eastAsia="仿宋_GB2312"/>
          <w:spacing w:val="-6"/>
          <w:sz w:val="30"/>
          <w:szCs w:val="30"/>
        </w:rPr>
        <w:t>日</w:t>
      </w:r>
    </w:p>
    <w:p>
      <w:pPr>
        <w:spacing w:before="156" w:beforeLines="50" w:after="156" w:afterLines="50" w:line="360" w:lineRule="auto"/>
        <w:rPr>
          <w:rFonts w:ascii="Times New Roman" w:hAnsi="Times New Roman"/>
          <w:sz w:val="28"/>
          <w:szCs w:val="32"/>
        </w:rPr>
      </w:pPr>
      <w:r>
        <w:rPr>
          <w:rFonts w:hint="eastAsia" w:ascii="Times New Roman" w:hAnsi="Times New Roman"/>
          <w:b/>
          <w:sz w:val="28"/>
          <w:szCs w:val="32"/>
        </w:rPr>
        <w:t>一、学校及专业联系人</w:t>
      </w:r>
    </w:p>
    <w:tbl>
      <w:tblPr>
        <w:tblStyle w:val="9"/>
        <w:tblW w:w="843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2769"/>
        <w:gridCol w:w="1721"/>
        <w:gridCol w:w="2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4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申请学校</w:t>
            </w:r>
          </w:p>
        </w:tc>
        <w:tc>
          <w:tcPr>
            <w:tcW w:w="6966" w:type="dxa"/>
            <w:gridSpan w:val="3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hint="eastAsia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中国矿业大学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4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申请专业</w:t>
            </w:r>
          </w:p>
        </w:tc>
        <w:tc>
          <w:tcPr>
            <w:tcW w:w="2769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21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所在院系</w:t>
            </w:r>
          </w:p>
        </w:tc>
        <w:tc>
          <w:tcPr>
            <w:tcW w:w="2476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4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学校教务</w:t>
            </w:r>
          </w:p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部门联系人</w:t>
            </w:r>
          </w:p>
        </w:tc>
        <w:tc>
          <w:tcPr>
            <w:tcW w:w="2769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hint="eastAsia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陈 平</w:t>
            </w:r>
          </w:p>
        </w:tc>
        <w:tc>
          <w:tcPr>
            <w:tcW w:w="1721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电子信箱</w:t>
            </w:r>
          </w:p>
        </w:tc>
        <w:tc>
          <w:tcPr>
            <w:tcW w:w="2476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hint="eastAsia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cumtzyjs@126.com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4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办公电话</w:t>
            </w:r>
          </w:p>
        </w:tc>
        <w:tc>
          <w:tcPr>
            <w:tcW w:w="2769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hint="eastAsia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0516-83590151</w:t>
            </w:r>
          </w:p>
        </w:tc>
        <w:tc>
          <w:tcPr>
            <w:tcW w:w="1721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手机</w:t>
            </w:r>
          </w:p>
        </w:tc>
        <w:tc>
          <w:tcPr>
            <w:tcW w:w="2476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hint="eastAsia" w:ascii="Times New Roman" w:hAnsi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13775894706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4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专业负责人</w:t>
            </w:r>
          </w:p>
        </w:tc>
        <w:tc>
          <w:tcPr>
            <w:tcW w:w="2769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21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电子信箱</w:t>
            </w:r>
          </w:p>
        </w:tc>
        <w:tc>
          <w:tcPr>
            <w:tcW w:w="2476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4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办公电话</w:t>
            </w:r>
          </w:p>
        </w:tc>
        <w:tc>
          <w:tcPr>
            <w:tcW w:w="2769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21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手机</w:t>
            </w:r>
          </w:p>
        </w:tc>
        <w:tc>
          <w:tcPr>
            <w:tcW w:w="2476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4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认证工作</w:t>
            </w:r>
          </w:p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联系人</w:t>
            </w:r>
          </w:p>
        </w:tc>
        <w:tc>
          <w:tcPr>
            <w:tcW w:w="2769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21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电子信箱</w:t>
            </w:r>
          </w:p>
        </w:tc>
        <w:tc>
          <w:tcPr>
            <w:tcW w:w="2476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4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办公电话</w:t>
            </w:r>
          </w:p>
        </w:tc>
        <w:tc>
          <w:tcPr>
            <w:tcW w:w="2769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21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手机</w:t>
            </w:r>
          </w:p>
        </w:tc>
        <w:tc>
          <w:tcPr>
            <w:tcW w:w="2476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4" w:type="dxa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通信地址</w:t>
            </w:r>
          </w:p>
        </w:tc>
        <w:tc>
          <w:tcPr>
            <w:tcW w:w="6966" w:type="dxa"/>
            <w:gridSpan w:val="3"/>
            <w:vAlign w:val="center"/>
          </w:tcPr>
          <w:p>
            <w:pPr>
              <w:tabs>
                <w:tab w:val="left" w:pos="0"/>
              </w:tabs>
              <w:spacing w:before="60" w:after="60" w:line="360" w:lineRule="auto"/>
              <w:ind w:right="-107" w:rightChars="-51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spacing w:line="360" w:lineRule="auto"/>
        <w:rPr>
          <w:rFonts w:ascii="Times New Roman" w:hAnsi="Times New Roman"/>
          <w:b/>
          <w:sz w:val="28"/>
        </w:rPr>
      </w:pPr>
      <w:r>
        <w:rPr>
          <w:rFonts w:hint="eastAsia" w:ascii="Times New Roman" w:hAnsi="Times New Roman"/>
          <w:b/>
          <w:sz w:val="28"/>
        </w:rPr>
        <w:t>二、学校及专业简介</w:t>
      </w:r>
    </w:p>
    <w:p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hint="eastAsia" w:ascii="Times New Roman" w:hAnsi="Times New Roman"/>
          <w:b/>
          <w:sz w:val="24"/>
          <w:szCs w:val="24"/>
        </w:rPr>
        <w:t>．学校简介</w:t>
      </w:r>
    </w:p>
    <w:p>
      <w:pPr>
        <w:spacing w:line="360" w:lineRule="auto"/>
        <w:ind w:firstLine="480" w:firstLineChars="200"/>
        <w:rPr>
          <w:rFonts w:hint="eastAsia"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简要介绍学校历史沿革和发展现状（不超过</w:t>
      </w:r>
      <w:r>
        <w:rPr>
          <w:rFonts w:ascii="Times New Roman" w:hAnsi="Times New Roman"/>
          <w:sz w:val="24"/>
          <w:szCs w:val="24"/>
        </w:rPr>
        <w:t>500</w:t>
      </w:r>
      <w:r>
        <w:rPr>
          <w:rFonts w:hint="eastAsia" w:ascii="Times New Roman" w:hAnsi="Times New Roman"/>
          <w:sz w:val="24"/>
          <w:szCs w:val="24"/>
        </w:rPr>
        <w:t>字）。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60" w:afterAutospacing="0" w:line="348" w:lineRule="atLeast"/>
        <w:ind w:right="180" w:firstLine="480" w:firstLineChars="200"/>
        <w:jc w:val="left"/>
        <w:rPr>
          <w:rFonts w:ascii="Times New Roman" w:hAnsi="Times New Roman" w:eastAsiaTheme="minorEastAsia"/>
          <w:color w:val="FF0000"/>
          <w:sz w:val="24"/>
          <w:szCs w:val="24"/>
        </w:rPr>
      </w:pPr>
      <w:bookmarkStart w:id="4" w:name="_GoBack"/>
      <w:r>
        <w:rPr>
          <w:rFonts w:hint="eastAsia" w:ascii="Times New Roman" w:hAnsi="Times New Roman" w:eastAsiaTheme="minorEastAsia"/>
          <w:color w:val="FF0000"/>
          <w:sz w:val="24"/>
          <w:szCs w:val="24"/>
        </w:rPr>
        <w:t>中国矿业大学是教育部直属的全国重点高校、国家“211工程”和“985优势学科创新平台项目”建设高校，教育部与江苏省人民政府、国家安全生产监督管理总局共建高校。学校前身是创办于1909年的焦作路矿学堂</w:t>
      </w:r>
      <w:r>
        <w:rPr>
          <w:rFonts w:hint="eastAsia" w:ascii="Times New Roman" w:hAnsi="Times New Roman" w:eastAsiaTheme="minorEastAsia"/>
          <w:color w:val="FF0000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Theme="minorEastAsia"/>
          <w:color w:val="FF0000"/>
          <w:sz w:val="24"/>
          <w:szCs w:val="24"/>
        </w:rPr>
        <w:t>历经14次搬迁、12次易名，1953年改称北京矿业学院</w:t>
      </w:r>
      <w:r>
        <w:rPr>
          <w:rFonts w:hint="eastAsia" w:ascii="Times New Roman" w:hAnsi="Times New Roman"/>
          <w:color w:val="FF0000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Theme="minorEastAsia"/>
          <w:color w:val="FF0000"/>
          <w:sz w:val="24"/>
          <w:szCs w:val="24"/>
        </w:rPr>
        <w:t>“文革”期间更名为四川矿业学院</w:t>
      </w:r>
      <w:r>
        <w:rPr>
          <w:rFonts w:hint="eastAsia" w:ascii="Times New Roman" w:hAnsi="Times New Roman"/>
          <w:color w:val="FF0000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Theme="minorEastAsia"/>
          <w:color w:val="FF0000"/>
          <w:sz w:val="24"/>
          <w:szCs w:val="24"/>
        </w:rPr>
        <w:t>1978年恢复中国矿业学院校名</w:t>
      </w:r>
      <w:r>
        <w:rPr>
          <w:rFonts w:hint="eastAsia" w:ascii="Times New Roman" w:hAnsi="Times New Roman"/>
          <w:color w:val="FF0000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Theme="minorEastAsia"/>
          <w:color w:val="FF0000"/>
          <w:sz w:val="24"/>
          <w:szCs w:val="24"/>
        </w:rPr>
        <w:t>1988</w:t>
      </w:r>
      <w:r>
        <w:rPr>
          <w:rFonts w:hint="eastAsia" w:ascii="Times New Roman" w:hAnsi="Times New Roman" w:eastAsiaTheme="minorEastAsia"/>
          <w:color w:val="FF0000"/>
          <w:sz w:val="24"/>
          <w:szCs w:val="24"/>
        </w:rPr>
        <w:t>年更名为中国矿业大学</w:t>
      </w:r>
      <w:r>
        <w:rPr>
          <w:rFonts w:hint="eastAsia" w:ascii="Times New Roman" w:hAnsi="Times New Roman"/>
          <w:color w:val="FF0000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Theme="minorEastAsia"/>
          <w:color w:val="FF0000"/>
          <w:sz w:val="24"/>
          <w:szCs w:val="24"/>
        </w:rPr>
        <w:t>2000年划归教育部直属管理。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60" w:afterAutospacing="0" w:line="348" w:lineRule="atLeast"/>
        <w:ind w:right="180" w:firstLine="480" w:firstLineChars="200"/>
        <w:jc w:val="left"/>
        <w:rPr>
          <w:rFonts w:hint="eastAsia" w:ascii="Times New Roman" w:hAnsi="Times New Roman" w:eastAsiaTheme="minorEastAsia"/>
          <w:color w:val="FF0000"/>
          <w:sz w:val="24"/>
          <w:szCs w:val="24"/>
        </w:rPr>
      </w:pPr>
      <w:r>
        <w:rPr>
          <w:rFonts w:hint="eastAsia" w:ascii="Times New Roman" w:hAnsi="Times New Roman" w:eastAsiaTheme="minorEastAsia"/>
          <w:color w:val="FF0000"/>
          <w:sz w:val="24"/>
          <w:szCs w:val="24"/>
        </w:rPr>
        <w:t>学校现有5</w:t>
      </w:r>
      <w:r>
        <w:rPr>
          <w:rFonts w:hint="eastAsia" w:ascii="Times New Roman" w:hAnsi="Times New Roman" w:eastAsiaTheme="minorEastAsia"/>
          <w:color w:val="FF0000"/>
          <w:sz w:val="24"/>
          <w:szCs w:val="24"/>
          <w:lang w:val="en-US" w:eastAsia="zh-CN"/>
        </w:rPr>
        <w:t>7</w:t>
      </w:r>
      <w:r>
        <w:rPr>
          <w:rFonts w:hint="eastAsia" w:ascii="Times New Roman" w:hAnsi="Times New Roman" w:eastAsiaTheme="minorEastAsia"/>
          <w:color w:val="FF0000"/>
          <w:sz w:val="24"/>
          <w:szCs w:val="24"/>
        </w:rPr>
        <w:t>个本科专业，35个一级学科硕士点，10个专业学位授权点，16个一级学科博士点，14个博士后科研流动站。在教育部2012年第三轮学科评估中，矿业工程、安全科学与工程、测绘科学与技术、地质资源与地质工程分别排名第一、一、三、四位。工程学、地球科学、材料科学、化学ESI排名进入全球大学和科研机构的前1%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60" w:afterAutospacing="0" w:line="348" w:lineRule="atLeast"/>
        <w:ind w:right="180" w:firstLine="480" w:firstLineChars="200"/>
        <w:jc w:val="left"/>
        <w:rPr>
          <w:rFonts w:hint="eastAsia" w:ascii="Times New Roman" w:hAnsi="Times New Roman" w:eastAsiaTheme="minorEastAsia"/>
          <w:color w:val="FF0000"/>
          <w:sz w:val="24"/>
          <w:szCs w:val="24"/>
        </w:rPr>
      </w:pPr>
      <w:r>
        <w:rPr>
          <w:rFonts w:hint="eastAsia" w:ascii="Times New Roman" w:hAnsi="Times New Roman" w:eastAsiaTheme="minorEastAsia"/>
          <w:color w:val="FF0000"/>
          <w:sz w:val="24"/>
          <w:szCs w:val="24"/>
        </w:rPr>
        <w:t>学校现有教职工3100多人，1名科学院院士、15名工程院院士（</w:t>
      </w:r>
      <w:r>
        <w:rPr>
          <w:rFonts w:hint="eastAsia" w:ascii="Times New Roman" w:hAnsi="Times New Roman" w:eastAsiaTheme="minorEastAsia"/>
          <w:color w:val="FF0000"/>
          <w:sz w:val="24"/>
          <w:szCs w:val="24"/>
          <w:lang w:val="en-US" w:eastAsia="zh-CN"/>
        </w:rPr>
        <w:t>含</w:t>
      </w:r>
      <w:r>
        <w:rPr>
          <w:rFonts w:hint="eastAsia" w:ascii="Times New Roman" w:hAnsi="Times New Roman" w:eastAsiaTheme="minorEastAsia"/>
          <w:color w:val="FF0000"/>
          <w:sz w:val="24"/>
          <w:szCs w:val="24"/>
        </w:rPr>
        <w:t>外聘）。全日制普通本科生2</w:t>
      </w:r>
      <w:r>
        <w:rPr>
          <w:rFonts w:hint="eastAsia" w:ascii="Times New Roman" w:hAnsi="Times New Roman"/>
          <w:color w:val="FF0000"/>
          <w:sz w:val="24"/>
          <w:szCs w:val="24"/>
          <w:lang w:val="en-US" w:eastAsia="zh-CN"/>
        </w:rPr>
        <w:t>39</w:t>
      </w:r>
      <w:r>
        <w:rPr>
          <w:rFonts w:hint="eastAsia" w:ascii="Times New Roman" w:hAnsi="Times New Roman" w:eastAsiaTheme="minorEastAsia"/>
          <w:color w:val="FF0000"/>
          <w:sz w:val="24"/>
          <w:szCs w:val="24"/>
        </w:rPr>
        <w:t>00余人，</w:t>
      </w:r>
      <w:r>
        <w:rPr>
          <w:rFonts w:hint="eastAsia" w:ascii="Times New Roman" w:hAnsi="Times New Roman"/>
          <w:color w:val="FF0000"/>
          <w:sz w:val="24"/>
          <w:szCs w:val="24"/>
          <w:lang w:val="en-US" w:eastAsia="zh-CN"/>
        </w:rPr>
        <w:t>各类</w:t>
      </w:r>
      <w:r>
        <w:rPr>
          <w:rFonts w:hint="eastAsia" w:ascii="Times New Roman" w:hAnsi="Times New Roman" w:eastAsiaTheme="minorEastAsia"/>
          <w:color w:val="FF0000"/>
          <w:sz w:val="24"/>
          <w:szCs w:val="24"/>
        </w:rPr>
        <w:t>硕士、博士研究生11000余人，留学生</w:t>
      </w:r>
      <w:r>
        <w:rPr>
          <w:rFonts w:hint="eastAsia" w:ascii="Times New Roman" w:hAnsi="Times New Roman"/>
          <w:color w:val="FF0000"/>
          <w:sz w:val="24"/>
          <w:szCs w:val="24"/>
          <w:lang w:val="en-US" w:eastAsia="zh-CN"/>
        </w:rPr>
        <w:t>460</w:t>
      </w:r>
      <w:r>
        <w:rPr>
          <w:rFonts w:hint="eastAsia" w:ascii="Times New Roman" w:hAnsi="Times New Roman" w:eastAsiaTheme="minorEastAsia"/>
          <w:color w:val="FF0000"/>
          <w:sz w:val="24"/>
          <w:szCs w:val="24"/>
        </w:rPr>
        <w:t>余人。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60" w:afterAutospacing="0" w:line="348" w:lineRule="atLeast"/>
        <w:ind w:right="180" w:firstLine="480" w:firstLineChars="200"/>
        <w:jc w:val="left"/>
        <w:rPr>
          <w:rFonts w:hint="eastAsia" w:ascii="Times New Roman" w:hAnsi="Times New Roman" w:eastAsiaTheme="minorEastAsia"/>
          <w:color w:val="FF0000"/>
          <w:sz w:val="24"/>
          <w:szCs w:val="24"/>
        </w:rPr>
      </w:pPr>
      <w:r>
        <w:rPr>
          <w:rFonts w:hint="eastAsia" w:ascii="Times New Roman" w:hAnsi="Times New Roman" w:eastAsiaTheme="minorEastAsia"/>
          <w:color w:val="FF0000"/>
          <w:sz w:val="24"/>
          <w:szCs w:val="24"/>
        </w:rPr>
        <w:t>学校拥有3个国家级实验教学示范中心、1个国家仿真模拟实验教学中心和1个国家级人才培养模式创新试验区</w:t>
      </w:r>
      <w:r>
        <w:rPr>
          <w:rFonts w:hint="eastAsia" w:ascii="Times New Roman" w:hAnsi="Times New Roman" w:eastAsiaTheme="minorEastAsia"/>
          <w:color w:val="FF0000"/>
          <w:sz w:val="24"/>
          <w:szCs w:val="24"/>
          <w:lang w:eastAsia="zh-CN"/>
        </w:rPr>
        <w:t>。</w:t>
      </w:r>
      <w:r>
        <w:rPr>
          <w:rFonts w:hint="eastAsia" w:ascii="Times New Roman" w:hAnsi="Times New Roman" w:eastAsiaTheme="minorEastAsia"/>
          <w:color w:val="FF0000"/>
          <w:sz w:val="24"/>
          <w:szCs w:val="24"/>
        </w:rPr>
        <w:t>2002年以来，学校获</w:t>
      </w:r>
      <w:r>
        <w:rPr>
          <w:rFonts w:hint="eastAsia" w:ascii="Times New Roman" w:hAnsi="Times New Roman" w:eastAsiaTheme="minorEastAsia"/>
          <w:color w:val="FF0000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eastAsiaTheme="minorEastAsia"/>
          <w:color w:val="FF0000"/>
          <w:sz w:val="24"/>
          <w:szCs w:val="24"/>
        </w:rPr>
        <w:t>项国家级教学成果奖。建校以来，先后为国家和社会输送了20万余名毕业生</w:t>
      </w:r>
      <w:r>
        <w:rPr>
          <w:rFonts w:hint="eastAsia" w:ascii="Times New Roman" w:hAnsi="Times New Roman" w:eastAsiaTheme="minorEastAsia"/>
          <w:color w:val="FF0000"/>
          <w:sz w:val="24"/>
          <w:szCs w:val="24"/>
          <w:lang w:eastAsia="zh-CN"/>
        </w:rPr>
        <w:t>。</w:t>
      </w:r>
      <w:r>
        <w:rPr>
          <w:rFonts w:hint="eastAsia" w:ascii="Times New Roman" w:hAnsi="Times New Roman" w:eastAsiaTheme="minorEastAsia"/>
          <w:color w:val="FF000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Theme="minorEastAsia"/>
          <w:color w:val="FF0000"/>
          <w:sz w:val="24"/>
          <w:szCs w:val="24"/>
        </w:rPr>
        <w:t>012年</w:t>
      </w:r>
      <w:r>
        <w:rPr>
          <w:rFonts w:hint="eastAsia" w:ascii="Times New Roman" w:hAnsi="Times New Roman" w:eastAsiaTheme="minorEastAsia"/>
          <w:color w:val="FF0000"/>
          <w:sz w:val="24"/>
          <w:szCs w:val="24"/>
          <w:lang w:val="en-US" w:eastAsia="zh-CN"/>
        </w:rPr>
        <w:t>学校</w:t>
      </w:r>
      <w:r>
        <w:rPr>
          <w:rFonts w:hint="eastAsia" w:ascii="Times New Roman" w:hAnsi="Times New Roman" w:eastAsiaTheme="minorEastAsia"/>
          <w:color w:val="FF0000"/>
          <w:sz w:val="24"/>
          <w:szCs w:val="24"/>
        </w:rPr>
        <w:t>被国务院授予“全国就业先进工作单位”称号。</w:t>
      </w:r>
    </w:p>
    <w:bookmarkEnd w:id="4"/>
    <w:p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hint="eastAsia" w:ascii="Times New Roman" w:hAnsi="Times New Roman"/>
          <w:b/>
          <w:sz w:val="24"/>
          <w:szCs w:val="24"/>
        </w:rPr>
        <w:t>．专业概况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简要介绍专业发展历程、学生规模、办学条件和人才培养质量情况（不超过</w:t>
      </w:r>
      <w:r>
        <w:rPr>
          <w:rFonts w:ascii="Times New Roman" w:hAnsi="Times New Roman"/>
          <w:sz w:val="24"/>
          <w:szCs w:val="24"/>
        </w:rPr>
        <w:t>1000</w:t>
      </w:r>
      <w:r>
        <w:rPr>
          <w:rFonts w:hint="eastAsia" w:ascii="Times New Roman" w:hAnsi="Times New Roman"/>
          <w:sz w:val="24"/>
          <w:szCs w:val="24"/>
        </w:rPr>
        <w:t>字）。</w:t>
      </w:r>
    </w:p>
    <w:p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>
        <w:rPr>
          <w:rFonts w:hint="eastAsia" w:ascii="Times New Roman" w:hAnsi="Times New Roman"/>
          <w:b/>
          <w:sz w:val="24"/>
          <w:szCs w:val="24"/>
        </w:rPr>
        <w:t>．专业参加认证情况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已参加过认证的专业填写，简要描述上次认证的结论及存在问题，采取的改进措施及效果。</w:t>
      </w:r>
    </w:p>
    <w:p>
      <w:pPr>
        <w:spacing w:line="360" w:lineRule="auto"/>
        <w:rPr>
          <w:rFonts w:ascii="Times New Roman" w:hAnsi="Times New Roman"/>
          <w:b/>
          <w:sz w:val="28"/>
        </w:rPr>
      </w:pPr>
      <w:r>
        <w:rPr>
          <w:rFonts w:hint="eastAsia" w:ascii="Times New Roman" w:hAnsi="Times New Roman"/>
          <w:b/>
          <w:sz w:val="28"/>
        </w:rPr>
        <w:t>三、专业的培养目标和毕业要求</w:t>
      </w:r>
    </w:p>
    <w:p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hint="eastAsia" w:ascii="Times New Roman" w:hAnsi="Times New Roman"/>
          <w:b/>
          <w:sz w:val="24"/>
          <w:szCs w:val="24"/>
        </w:rPr>
        <w:t>．培养目标</w:t>
      </w:r>
    </w:p>
    <w:p>
      <w:pPr>
        <w:spacing w:line="360" w:lineRule="auto"/>
        <w:ind w:firstLine="480" w:firstLineChars="200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本专业培养目标原文，无须展开说明。</w:t>
      </w:r>
    </w:p>
    <w:p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2．毕业要求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hint="eastAsia" w:ascii="Times New Roman" w:hAnsi="Times New Roman"/>
          <w:sz w:val="24"/>
          <w:szCs w:val="24"/>
        </w:rPr>
        <w:t>本专业毕业要求原文，无须展开说明。</w:t>
      </w:r>
    </w:p>
    <w:p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3．毕业要求对培养目标的支撑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本专业毕业要求对培养目标的支撑关系，可用矩阵图或其他适当形式说明。</w:t>
      </w:r>
    </w:p>
    <w:p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4．课程体系对毕业要求的支撑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本专业课程体系对毕业要求的支撑关系，可用矩阵图或其他适当形式说明。</w:t>
      </w:r>
    </w:p>
    <w:p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5．毕业要求达成度评价</w:t>
      </w:r>
    </w:p>
    <w:p>
      <w:pPr>
        <w:spacing w:line="360" w:lineRule="auto"/>
        <w:ind w:firstLine="480" w:firstLineChars="200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本专业毕业要求达成度评价的机制，包括评价方法、数据来源、评价机构、评价周期、结果反馈等，并任选</w:t>
      </w:r>
      <w:r>
        <w:rPr>
          <w:rFonts w:ascii="Times New Roman" w:hAnsi="Times New Roman"/>
          <w:sz w:val="24"/>
          <w:szCs w:val="24"/>
        </w:rPr>
        <w:t>1-2</w:t>
      </w:r>
      <w:r>
        <w:rPr>
          <w:rFonts w:hint="eastAsia" w:ascii="Times New Roman" w:hAnsi="Times New Roman"/>
          <w:sz w:val="24"/>
          <w:szCs w:val="24"/>
        </w:rPr>
        <w:t>项毕业要求项举例说明评价实施情况。</w:t>
      </w:r>
    </w:p>
    <w:p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四、专业状态数据表</w:t>
      </w:r>
    </w:p>
    <w:p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hint="eastAsia" w:ascii="Times New Roman" w:hAnsi="Times New Roman"/>
          <w:b/>
          <w:sz w:val="24"/>
          <w:szCs w:val="24"/>
        </w:rPr>
        <w:t>．专业教师</w:t>
      </w:r>
    </w:p>
    <w:tbl>
      <w:tblPr>
        <w:tblStyle w:val="9"/>
        <w:tblW w:w="9218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275"/>
        <w:gridCol w:w="851"/>
        <w:gridCol w:w="850"/>
        <w:gridCol w:w="993"/>
        <w:gridCol w:w="1984"/>
        <w:gridCol w:w="1418"/>
        <w:gridCol w:w="9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jc w:val="center"/>
        </w:trPr>
        <w:tc>
          <w:tcPr>
            <w:tcW w:w="852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275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851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年龄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学位</w:t>
            </w:r>
          </w:p>
        </w:tc>
        <w:tc>
          <w:tcPr>
            <w:tcW w:w="993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职称</w:t>
            </w:r>
          </w:p>
        </w:tc>
        <w:tc>
          <w:tcPr>
            <w:tcW w:w="1984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毕业学校与专业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来本专业工作时间</w:t>
            </w:r>
          </w:p>
        </w:tc>
        <w:tc>
          <w:tcPr>
            <w:tcW w:w="99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主要工程背景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</w:tblPrEx>
        <w:trPr>
          <w:jc w:val="center"/>
        </w:trPr>
        <w:tc>
          <w:tcPr>
            <w:tcW w:w="852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注：只填本专业全职教师。</w:t>
      </w:r>
    </w:p>
    <w:p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hint="eastAsia" w:ascii="Times New Roman" w:hAnsi="Times New Roman"/>
          <w:b/>
          <w:sz w:val="24"/>
          <w:szCs w:val="24"/>
        </w:rPr>
        <w:t>．最近三年学生数</w:t>
      </w:r>
    </w:p>
    <w:tbl>
      <w:tblPr>
        <w:tblStyle w:val="9"/>
        <w:tblW w:w="9214" w:type="dxa"/>
        <w:jc w:val="center"/>
        <w:tblInd w:w="-4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7"/>
        <w:gridCol w:w="2285"/>
        <w:gridCol w:w="2126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2677" w:type="dxa"/>
          </w:tcPr>
          <w:p>
            <w:pPr>
              <w:tabs>
                <w:tab w:val="left" w:pos="540"/>
              </w:tabs>
              <w:spacing w:line="360" w:lineRule="auto"/>
              <w:ind w:firstLine="1080" w:firstLineChars="45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635</wp:posOffset>
                      </wp:positionV>
                      <wp:extent cx="1680210" cy="595630"/>
                      <wp:effectExtent l="0" t="0" r="15875" b="33655"/>
                      <wp:wrapNone/>
                      <wp:docPr id="26" name="Lin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9944" cy="59542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135" o:spid="_x0000_s1026" o:spt="20" style="position:absolute;left:0pt;margin-left:-5.7pt;margin-top:0.05pt;height:46.9pt;width:132.3pt;z-index:251659264;mso-width-relative:page;mso-height-relative:page;" filled="f" stroked="t" coordsize="21600,21600" o:gfxdata="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CK1d6tUAAAAHAQAADwAAAAAAAAABACAAAAAiAAAAZHJzL2Rvd25yZXYueG1sUEsBAhQAFAAAAAgA&#10;h07iQK4Gh5O2AQAAWQMAAA4AAAAAAAAAAQAgAAAAJAEAAGRycy9lMm9Eb2MueG1sUEsFBgAAAAAG&#10;AAYAWQEAAEw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Times New Roman" w:hAnsi="Times New Roman"/>
                <w:b/>
                <w:sz w:val="24"/>
                <w:szCs w:val="24"/>
              </w:rPr>
              <w:t>年度</w:t>
            </w:r>
          </w:p>
          <w:p>
            <w:pPr>
              <w:tabs>
                <w:tab w:val="left" w:pos="540"/>
              </w:tabs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类别</w:t>
            </w:r>
          </w:p>
        </w:tc>
        <w:tc>
          <w:tcPr>
            <w:tcW w:w="2285" w:type="dxa"/>
            <w:vAlign w:val="center"/>
          </w:tcPr>
          <w:p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hint="eastAsia"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hint="eastAsia"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hint="eastAsia" w:ascii="Times New Roman" w:hAnsi="Times New Roman"/>
                <w:b/>
                <w:sz w:val="24"/>
                <w:szCs w:val="24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77" w:type="dxa"/>
          </w:tcPr>
          <w:p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招生数</w:t>
            </w:r>
          </w:p>
        </w:tc>
        <w:tc>
          <w:tcPr>
            <w:tcW w:w="2285" w:type="dxa"/>
          </w:tcPr>
          <w:p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77" w:type="dxa"/>
          </w:tcPr>
          <w:p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在校生数</w:t>
            </w:r>
          </w:p>
        </w:tc>
        <w:tc>
          <w:tcPr>
            <w:tcW w:w="2285" w:type="dxa"/>
          </w:tcPr>
          <w:p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77" w:type="dxa"/>
          </w:tcPr>
          <w:p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毕业生数</w:t>
            </w:r>
          </w:p>
        </w:tc>
        <w:tc>
          <w:tcPr>
            <w:tcW w:w="2285" w:type="dxa"/>
          </w:tcPr>
          <w:p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77" w:type="dxa"/>
          </w:tcPr>
          <w:p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授予学位数</w:t>
            </w:r>
          </w:p>
        </w:tc>
        <w:tc>
          <w:tcPr>
            <w:tcW w:w="2285" w:type="dxa"/>
          </w:tcPr>
          <w:p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>
            <w:pPr>
              <w:tabs>
                <w:tab w:val="left" w:pos="54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注：填写14-15、15-16、16-17三个学年的数据。</w:t>
      </w:r>
    </w:p>
    <w:p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3．实践教学条件</w:t>
      </w:r>
    </w:p>
    <w:tbl>
      <w:tblPr>
        <w:tblStyle w:val="9"/>
        <w:tblW w:w="9231" w:type="dxa"/>
        <w:jc w:val="center"/>
        <w:tblInd w:w="2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5"/>
        <w:gridCol w:w="1995"/>
        <w:gridCol w:w="1934"/>
        <w:gridCol w:w="1007"/>
        <w:gridCol w:w="992"/>
        <w:gridCol w:w="1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5" w:type="dxa"/>
            <w:vMerge w:val="restart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校内外主要实验、实习、实训场所</w:t>
            </w:r>
          </w:p>
        </w:tc>
        <w:tc>
          <w:tcPr>
            <w:tcW w:w="1995" w:type="dxa"/>
            <w:vMerge w:val="restart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承担的教学任务</w:t>
            </w:r>
          </w:p>
        </w:tc>
        <w:tc>
          <w:tcPr>
            <w:tcW w:w="1934" w:type="dxa"/>
            <w:vMerge w:val="restart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学生考核方式</w:t>
            </w:r>
          </w:p>
        </w:tc>
        <w:tc>
          <w:tcPr>
            <w:tcW w:w="3117" w:type="dxa"/>
            <w:gridSpan w:val="3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近三年接受学生数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5" w:type="dxa"/>
            <w:vMerge w:val="continue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95" w:type="dxa"/>
            <w:vMerge w:val="continue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4" w:type="dxa"/>
            <w:vMerge w:val="continue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2015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118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5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5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5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>
            <w:pPr>
              <w:snapToGrid w:val="0"/>
              <w:spacing w:before="156" w:beforeLines="5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注：填写14-15、15-16、16-17三个学年的数据。</w:t>
      </w:r>
    </w:p>
    <w:p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五、其它材料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hint="eastAsia" w:ascii="Times New Roman" w:hAnsi="Times New Roman"/>
          <w:sz w:val="24"/>
          <w:szCs w:val="24"/>
        </w:rPr>
        <w:t>．上轮的认证报告及分年度改进报告（已通过认证的专业提供）；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2．正在执行的培养方案；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3．专业主干课程教学大纲；</w:t>
      </w:r>
    </w:p>
    <w:p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</w:rPr>
        <w:t>4．最近三届毕业生就业情况清单（包括就业单位、单位性质等基本信息）。</w:t>
      </w:r>
    </w:p>
    <w:p>
      <w:pPr>
        <w:spacing w:line="360" w:lineRule="auto"/>
        <w:rPr>
          <w:rFonts w:ascii="Times New Roman" w:hAnsi="Times New Roman" w:eastAsia="方正小标宋简体"/>
        </w:rPr>
      </w:pPr>
    </w:p>
    <w:p>
      <w:pPr>
        <w:spacing w:line="360" w:lineRule="auto"/>
        <w:rPr>
          <w:rFonts w:ascii="Times New Roman" w:hAnsi="Times New Roman" w:eastAsia="方正小标宋简体"/>
        </w:rPr>
      </w:pPr>
    </w:p>
    <w:p>
      <w:pPr>
        <w:rPr>
          <w:rFonts w:ascii="仿宋" w:hAnsi="仿宋" w:eastAsia="仿宋"/>
          <w:sz w:val="28"/>
          <w:szCs w:val="28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7457076"/>
    </w:sdtPr>
    <w:sdtEndPr>
      <w:rPr>
        <w:rFonts w:ascii="宋体" w:hAnsi="宋体"/>
        <w:sz w:val="28"/>
        <w:szCs w:val="28"/>
      </w:rPr>
    </w:sdtEndPr>
    <w:sdtContent>
      <w:p>
        <w:pPr>
          <w:pStyle w:val="3"/>
          <w:jc w:val="center"/>
          <w:rPr>
            <w:rFonts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4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823"/>
    <w:rsid w:val="004220BB"/>
    <w:rsid w:val="00452823"/>
    <w:rsid w:val="00A43FAA"/>
    <w:rsid w:val="00D05F9B"/>
    <w:rsid w:val="00DF74D4"/>
    <w:rsid w:val="2B8B2F1B"/>
    <w:rsid w:val="3D6F1E2E"/>
    <w:rsid w:val="627C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2"/>
    <w:qFormat/>
    <w:uiPriority w:val="0"/>
    <w:pPr>
      <w:keepNext/>
      <w:keepLines/>
      <w:spacing w:before="260" w:after="260" w:line="413" w:lineRule="auto"/>
      <w:outlineLvl w:val="2"/>
    </w:pPr>
    <w:rPr>
      <w:rFonts w:ascii="Times New Roman" w:hAnsi="Times New Roman" w:eastAsia="宋体" w:cs="Times New Roman"/>
      <w:b/>
      <w:sz w:val="32"/>
      <w:szCs w:val="20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Normal (Web)"/>
    <w:basedOn w:val="1"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unhideWhenUsed/>
    <w:uiPriority w:val="99"/>
    <w:rPr>
      <w:color w:val="333333"/>
      <w:u w:val="none"/>
    </w:rPr>
  </w:style>
  <w:style w:type="character" w:styleId="8">
    <w:name w:val="Hyperlink"/>
    <w:basedOn w:val="6"/>
    <w:unhideWhenUsed/>
    <w:uiPriority w:val="99"/>
    <w:rPr>
      <w:color w:val="333333"/>
      <w:u w:val="none"/>
    </w:rPr>
  </w:style>
  <w:style w:type="character" w:customStyle="1" w:styleId="10">
    <w:name w:val="页眉 Char"/>
    <w:basedOn w:val="6"/>
    <w:link w:val="4"/>
    <w:uiPriority w:val="99"/>
    <w:rPr>
      <w:kern w:val="2"/>
      <w:sz w:val="18"/>
      <w:szCs w:val="18"/>
    </w:rPr>
  </w:style>
  <w:style w:type="character" w:customStyle="1" w:styleId="11">
    <w:name w:val="页脚 Char"/>
    <w:basedOn w:val="6"/>
    <w:link w:val="3"/>
    <w:uiPriority w:val="99"/>
    <w:rPr>
      <w:kern w:val="2"/>
      <w:sz w:val="18"/>
      <w:szCs w:val="18"/>
    </w:rPr>
  </w:style>
  <w:style w:type="character" w:customStyle="1" w:styleId="12">
    <w:name w:val="标题 3 Char"/>
    <w:basedOn w:val="6"/>
    <w:link w:val="2"/>
    <w:uiPriority w:val="0"/>
    <w:rPr>
      <w:b/>
      <w:kern w:val="2"/>
      <w:sz w:val="32"/>
    </w:rPr>
  </w:style>
  <w:style w:type="character" w:customStyle="1" w:styleId="13">
    <w:name w:val="item-name"/>
    <w:basedOn w:val="6"/>
    <w:uiPriority w:val="0"/>
    <w:rPr>
      <w:bdr w:val="none" w:color="auto" w:sz="0" w:space="0"/>
    </w:rPr>
  </w:style>
  <w:style w:type="character" w:customStyle="1" w:styleId="14">
    <w:name w:val="item-name1"/>
    <w:basedOn w:val="6"/>
    <w:uiPriority w:val="0"/>
    <w:rPr>
      <w:bdr w:val="none" w:color="auto" w:sz="0" w:space="0"/>
    </w:rPr>
  </w:style>
  <w:style w:type="character" w:customStyle="1" w:styleId="15">
    <w:name w:val="pubdate-month"/>
    <w:basedOn w:val="6"/>
    <w:uiPriority w:val="0"/>
    <w:rPr>
      <w:color w:val="FFFFFF"/>
      <w:sz w:val="19"/>
      <w:szCs w:val="19"/>
      <w:shd w:val="clear" w:fill="CC0000"/>
    </w:rPr>
  </w:style>
  <w:style w:type="character" w:customStyle="1" w:styleId="16">
    <w:name w:val="pubdate-day"/>
    <w:basedOn w:val="6"/>
    <w:uiPriority w:val="0"/>
    <w:rPr>
      <w:shd w:val="clear" w:fill="F2F2F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168</Words>
  <Characters>963</Characters>
  <Lines>8</Lines>
  <Paragraphs>2</Paragraphs>
  <ScaleCrop>false</ScaleCrop>
  <LinksUpToDate>false</LinksUpToDate>
  <CharactersWithSpaces>1129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2017-08-30T09:00:00Z</dcterms:created>
  <dc:creator>cz</dc:creator>
  <cp:lastModifiedBy>lenovo</cp:lastModifiedBy>
  <dcterms:modified xsi:type="dcterms:W3CDTF">2017-08-31T02:42:05Z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