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6D9" w:rsidRPr="00C87200" w:rsidRDefault="00D976D9" w:rsidP="00D976D9">
      <w:pPr>
        <w:spacing w:line="560" w:lineRule="exact"/>
        <w:rPr>
          <w:rFonts w:ascii="仿宋_GB2312" w:eastAsia="仿宋_GB2312" w:hAnsi="宋体" w:cs="宋体"/>
          <w:color w:val="000000"/>
          <w:sz w:val="28"/>
          <w:szCs w:val="28"/>
        </w:rPr>
      </w:pPr>
      <w:r w:rsidRPr="00C87200">
        <w:rPr>
          <w:rFonts w:ascii="仿宋_GB2312" w:eastAsia="仿宋_GB2312" w:hAnsi="宋体" w:cs="宋体" w:hint="eastAsia"/>
          <w:color w:val="000000"/>
          <w:sz w:val="28"/>
          <w:szCs w:val="28"/>
        </w:rPr>
        <w:t>附件</w:t>
      </w:r>
      <w:r w:rsidRPr="00C87200">
        <w:rPr>
          <w:rFonts w:ascii="仿宋_GB2312" w:eastAsia="仿宋_GB2312" w:hAnsi="宋体" w:cs="宋体" w:hint="eastAsia"/>
          <w:color w:val="000000"/>
          <w:sz w:val="28"/>
          <w:szCs w:val="28"/>
        </w:rPr>
        <w:t>1</w:t>
      </w:r>
      <w:r w:rsidRPr="00C87200">
        <w:rPr>
          <w:rFonts w:ascii="仿宋_GB2312" w:eastAsia="仿宋_GB2312" w:hAnsi="宋体" w:cs="宋体" w:hint="eastAsia"/>
          <w:color w:val="000000"/>
          <w:sz w:val="28"/>
          <w:szCs w:val="28"/>
        </w:rPr>
        <w:t>：</w:t>
      </w:r>
    </w:p>
    <w:p w:rsidR="00D976D9" w:rsidRPr="00D976D9" w:rsidRDefault="00D976D9" w:rsidP="00D976D9">
      <w:pPr>
        <w:spacing w:line="560" w:lineRule="exact"/>
        <w:jc w:val="center"/>
        <w:rPr>
          <w:rFonts w:ascii="仿宋_GB2312" w:eastAsia="仿宋_GB2312" w:hAnsi="宋体" w:cs="宋体"/>
          <w:b/>
          <w:bCs/>
          <w:color w:val="000000"/>
          <w:sz w:val="24"/>
          <w:szCs w:val="24"/>
        </w:rPr>
      </w:pPr>
    </w:p>
    <w:p w:rsidR="00D976D9" w:rsidRPr="00D976D9" w:rsidRDefault="00D976D9" w:rsidP="00D976D9">
      <w:pPr>
        <w:spacing w:line="560" w:lineRule="exact"/>
        <w:jc w:val="center"/>
        <w:rPr>
          <w:rFonts w:ascii="方正小标宋简体" w:eastAsia="方正小标宋简体" w:hAnsi="宋体" w:cs="宋体"/>
          <w:bCs/>
          <w:color w:val="000000"/>
          <w:sz w:val="44"/>
          <w:szCs w:val="44"/>
        </w:rPr>
      </w:pPr>
      <w:r w:rsidRPr="00D976D9">
        <w:rPr>
          <w:rFonts w:ascii="方正小标宋简体" w:eastAsia="方正小标宋简体" w:hAnsi="宋体" w:cs="宋体" w:hint="eastAsia"/>
          <w:bCs/>
          <w:color w:val="000000"/>
          <w:sz w:val="44"/>
          <w:szCs w:val="44"/>
        </w:rPr>
        <w:t>中国矿业大学</w:t>
      </w:r>
      <w:bookmarkStart w:id="0" w:name="_GoBack"/>
      <w:bookmarkEnd w:id="0"/>
      <w:r w:rsidRPr="00D976D9">
        <w:rPr>
          <w:rFonts w:ascii="方正小标宋简体" w:eastAsia="方正小标宋简体" w:hAnsi="宋体" w:cs="宋体" w:hint="eastAsia"/>
          <w:bCs/>
          <w:color w:val="000000"/>
          <w:sz w:val="44"/>
          <w:szCs w:val="44"/>
        </w:rPr>
        <w:t>卓越采矿工程师教材建设办法</w:t>
      </w:r>
    </w:p>
    <w:p w:rsidR="00D976D9" w:rsidRPr="00D976D9" w:rsidRDefault="00D976D9" w:rsidP="00D976D9">
      <w:pPr>
        <w:spacing w:line="560" w:lineRule="exact"/>
        <w:jc w:val="center"/>
        <w:rPr>
          <w:rFonts w:ascii="仿宋_GB2312" w:eastAsia="仿宋_GB2312" w:hAnsi="宋体" w:cs="宋体"/>
          <w:bCs/>
          <w:color w:val="000000"/>
          <w:sz w:val="30"/>
          <w:szCs w:val="30"/>
        </w:rPr>
      </w:pPr>
      <w:r w:rsidRPr="00D976D9">
        <w:rPr>
          <w:rFonts w:ascii="仿宋_GB2312" w:eastAsia="仿宋_GB2312" w:hAnsi="宋体" w:cs="宋体" w:hint="eastAsia"/>
          <w:bCs/>
          <w:color w:val="000000"/>
          <w:sz w:val="30"/>
          <w:szCs w:val="30"/>
        </w:rPr>
        <w:t>(试行)</w:t>
      </w:r>
    </w:p>
    <w:p w:rsidR="00D976D9" w:rsidRPr="00D976D9" w:rsidRDefault="00D976D9" w:rsidP="00D976D9">
      <w:pPr>
        <w:spacing w:line="560" w:lineRule="exact"/>
        <w:jc w:val="center"/>
        <w:rPr>
          <w:rFonts w:ascii="仿宋_GB2312" w:eastAsia="仿宋_GB2312"/>
          <w:color w:val="000000"/>
          <w:sz w:val="24"/>
          <w:szCs w:val="24"/>
        </w:rPr>
      </w:pPr>
    </w:p>
    <w:p w:rsidR="00D976D9" w:rsidRPr="00D976D9" w:rsidRDefault="00D976D9" w:rsidP="00D976D9">
      <w:pPr>
        <w:spacing w:line="560" w:lineRule="exact"/>
        <w:ind w:firstLineChars="200" w:firstLine="560"/>
        <w:rPr>
          <w:rFonts w:ascii="仿宋_GB2312" w:eastAsia="仿宋_GB2312" w:hAnsi="宋体" w:cs="宋体"/>
          <w:bCs/>
          <w:sz w:val="28"/>
          <w:szCs w:val="28"/>
        </w:rPr>
      </w:pPr>
      <w:r w:rsidRPr="00D976D9">
        <w:rPr>
          <w:rFonts w:ascii="仿宋_GB2312" w:eastAsia="仿宋_GB2312" w:hAnsi="宋体" w:cs="宋体" w:hint="eastAsia"/>
          <w:color w:val="000000"/>
          <w:sz w:val="28"/>
          <w:szCs w:val="28"/>
        </w:rPr>
        <w:t>根据《加强内涵建设提高本科教育教学质量的实施意见》（中矿委[2013]34号）文件精神，为加强我校高水平特色建材的建设，</w:t>
      </w:r>
      <w:r w:rsidRPr="00D976D9">
        <w:rPr>
          <w:rFonts w:ascii="仿宋_GB2312" w:eastAsia="仿宋_GB2312" w:hAnsi="宋体" w:cs="宋体" w:hint="eastAsia"/>
          <w:sz w:val="28"/>
          <w:szCs w:val="28"/>
        </w:rPr>
        <w:t>经学校研究决定，启动中国矿业大学</w:t>
      </w:r>
      <w:r w:rsidRPr="00D976D9">
        <w:rPr>
          <w:rFonts w:ascii="仿宋_GB2312" w:eastAsia="仿宋_GB2312" w:hAnsi="宋体" w:cs="宋体" w:hint="eastAsia"/>
          <w:color w:val="000000"/>
          <w:sz w:val="28"/>
          <w:szCs w:val="28"/>
        </w:rPr>
        <w:t>卓越采矿工程师教材建设工作（以下简称卓越计划教材），并制定本办法</w:t>
      </w:r>
      <w:r w:rsidRPr="00D976D9">
        <w:rPr>
          <w:rFonts w:ascii="仿宋_GB2312" w:eastAsia="仿宋_GB2312" w:hAnsi="宋体" w:cs="宋体" w:hint="eastAsia"/>
          <w:bCs/>
          <w:sz w:val="28"/>
          <w:szCs w:val="28"/>
        </w:rPr>
        <w:t>。</w:t>
      </w:r>
    </w:p>
    <w:p w:rsidR="00D976D9" w:rsidRPr="00D976D9" w:rsidRDefault="00D976D9" w:rsidP="00D976D9">
      <w:pPr>
        <w:spacing w:line="560" w:lineRule="exact"/>
        <w:ind w:firstLineChars="200" w:firstLine="562"/>
        <w:rPr>
          <w:rFonts w:ascii="仿宋_GB2312" w:eastAsia="仿宋_GB2312" w:hAnsi="宋体" w:cs="宋体"/>
          <w:b/>
          <w:bCs/>
          <w:sz w:val="28"/>
          <w:szCs w:val="28"/>
        </w:rPr>
      </w:pPr>
      <w:r w:rsidRPr="00D976D9">
        <w:rPr>
          <w:rFonts w:ascii="仿宋_GB2312" w:eastAsia="仿宋_GB2312" w:hAnsi="宋体" w:cs="宋体" w:hint="eastAsia"/>
          <w:b/>
          <w:bCs/>
          <w:sz w:val="28"/>
          <w:szCs w:val="28"/>
        </w:rPr>
        <w:t>一、教材遴选范围</w:t>
      </w:r>
    </w:p>
    <w:p w:rsidR="00D976D9" w:rsidRPr="00D976D9" w:rsidRDefault="00D976D9" w:rsidP="00D976D9">
      <w:pPr>
        <w:spacing w:line="56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卓越采矿工程师教材主要面向或服务于我校煤炭主体专业及卓越工程师计划专业，遴选一批能反映最新的科技成果和具有矿业工程特色的卓越计划教材。项目建设期一般为2年。</w:t>
      </w:r>
    </w:p>
    <w:p w:rsidR="00D976D9" w:rsidRPr="00D976D9" w:rsidRDefault="00D976D9" w:rsidP="00D976D9">
      <w:pPr>
        <w:spacing w:line="560" w:lineRule="exact"/>
        <w:ind w:firstLineChars="200" w:firstLine="562"/>
        <w:rPr>
          <w:rFonts w:ascii="仿宋_GB2312" w:eastAsia="仿宋_GB2312" w:hAnsi="宋体" w:cs="宋体"/>
          <w:b/>
          <w:bCs/>
          <w:sz w:val="28"/>
          <w:szCs w:val="28"/>
        </w:rPr>
      </w:pPr>
      <w:r w:rsidRPr="00D976D9">
        <w:rPr>
          <w:rFonts w:ascii="仿宋_GB2312" w:eastAsia="仿宋_GB2312" w:hAnsi="宋体" w:cs="宋体" w:hint="eastAsia"/>
          <w:b/>
          <w:bCs/>
          <w:sz w:val="28"/>
          <w:szCs w:val="28"/>
        </w:rPr>
        <w:t>二、立项申报和审批</w:t>
      </w:r>
    </w:p>
    <w:p w:rsidR="00D976D9" w:rsidRPr="00D976D9" w:rsidRDefault="00D976D9" w:rsidP="00D976D9">
      <w:pPr>
        <w:spacing w:line="56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1. 卓越计划教材包括专业特色教材、双语教材、英文版教材等，教材应由校企联合组织编写，其中，来自企业的编委一般不少于50%，一名主编一次只能申报一部教材，一位教师参加编写的教材不能超过两部。</w:t>
      </w:r>
    </w:p>
    <w:p w:rsidR="00D976D9" w:rsidRPr="00D976D9" w:rsidRDefault="00D976D9" w:rsidP="00D976D9">
      <w:pPr>
        <w:spacing w:line="56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2. 项目立项由主编牵头，统筹设计，研究并填写卓越计划教材建设申请书，经所在系（所）审核、学院推荐后上报教务部。</w:t>
      </w:r>
    </w:p>
    <w:p w:rsidR="00D976D9" w:rsidRPr="00D976D9" w:rsidRDefault="00D976D9" w:rsidP="00D976D9">
      <w:pPr>
        <w:spacing w:line="56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3. 教务部组织校学术委员会专家对卓越计划教材建设方案进行评审，评审结果报主管校长批准后发文公布立项。</w:t>
      </w:r>
    </w:p>
    <w:p w:rsidR="00D976D9" w:rsidRPr="00D976D9" w:rsidRDefault="00D976D9" w:rsidP="00D976D9">
      <w:pPr>
        <w:spacing w:line="540" w:lineRule="exact"/>
        <w:ind w:firstLineChars="200" w:firstLine="562"/>
        <w:rPr>
          <w:rFonts w:ascii="仿宋_GB2312" w:eastAsia="仿宋_GB2312" w:hAnsi="宋体" w:cs="宋体"/>
          <w:sz w:val="28"/>
          <w:szCs w:val="28"/>
        </w:rPr>
      </w:pPr>
      <w:r w:rsidRPr="00D976D9">
        <w:rPr>
          <w:rFonts w:ascii="仿宋_GB2312" w:eastAsia="仿宋_GB2312" w:hAnsi="宋体" w:cs="宋体" w:hint="eastAsia"/>
          <w:b/>
          <w:bCs/>
          <w:sz w:val="28"/>
          <w:szCs w:val="28"/>
        </w:rPr>
        <w:t>三、 资金管理</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lastRenderedPageBreak/>
        <w:t>1. 学校筹集卓越计划教材经费，并设立专项账户，专款专用。</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2. 卓越计划教材立项后，学校即划拨项目建设启动经费，用于开展教材建设的调研、差旅、组织专家论证研讨会以及必要的办公费用等支出。</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3. 卓越计划教材的出版费用由学校承担。</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4. 卓越教材出版后，出版社根据教材发行情况支付编写人员稿酬。</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5. 学校根据卓越教材的编写质量、使用效果等情况给予编写人员一定的劳务补贴，对于优秀教材，另外给予奖励。</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6. 在卓越教材建设过程中，学校将组织有关专家对卓越计划教材的建设过程进行管理，开展中期检查、结题验收和项目评审总结工作，并根据检查情况划拨相关经费。</w:t>
      </w:r>
    </w:p>
    <w:p w:rsidR="00D976D9" w:rsidRPr="00D976D9" w:rsidRDefault="00D976D9" w:rsidP="00D976D9">
      <w:pPr>
        <w:spacing w:line="540" w:lineRule="exact"/>
        <w:ind w:firstLineChars="200" w:firstLine="562"/>
        <w:rPr>
          <w:rFonts w:ascii="仿宋_GB2312" w:eastAsia="仿宋_GB2312" w:hAnsi="宋体" w:cs="宋体"/>
          <w:sz w:val="28"/>
          <w:szCs w:val="28"/>
        </w:rPr>
      </w:pPr>
      <w:r w:rsidRPr="00D976D9">
        <w:rPr>
          <w:rFonts w:ascii="仿宋_GB2312" w:eastAsia="仿宋_GB2312" w:hAnsi="宋体" w:cs="宋体" w:hint="eastAsia"/>
          <w:b/>
          <w:bCs/>
          <w:sz w:val="28"/>
          <w:szCs w:val="28"/>
        </w:rPr>
        <w:t>四、其他</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1. 各学院、系（所）应在积极做好卓越计划教材建设规划的基础上，积极指导、支持、监督主编在规定时间内完成教材建设任务。</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2. 所有列入学校卓越计划教材立项建设的教材，教材出版时必须在适当位置标注“中国矿业大学卓越采矿工程师教材”字样。</w:t>
      </w:r>
    </w:p>
    <w:p w:rsidR="00D976D9" w:rsidRPr="00D976D9" w:rsidRDefault="00D976D9" w:rsidP="00D976D9">
      <w:pPr>
        <w:spacing w:line="540" w:lineRule="exact"/>
        <w:ind w:firstLineChars="200" w:firstLine="560"/>
        <w:rPr>
          <w:rFonts w:ascii="仿宋_GB2312" w:eastAsia="仿宋_GB2312" w:hAnsi="宋体" w:cs="宋体"/>
          <w:color w:val="000000"/>
          <w:sz w:val="28"/>
          <w:szCs w:val="28"/>
        </w:rPr>
      </w:pPr>
      <w:r w:rsidRPr="00D976D9">
        <w:rPr>
          <w:rFonts w:ascii="仿宋_GB2312" w:eastAsia="仿宋_GB2312" w:hAnsi="宋体" w:cs="宋体" w:hint="eastAsia"/>
          <w:color w:val="000000"/>
          <w:sz w:val="28"/>
          <w:szCs w:val="28"/>
        </w:rPr>
        <w:t>3. 本办法自发文之日起执行，由教务部负责解释。</w:t>
      </w:r>
    </w:p>
    <w:p w:rsidR="00D976D9" w:rsidRPr="00D976D9" w:rsidRDefault="00D976D9" w:rsidP="00D976D9">
      <w:pPr>
        <w:spacing w:line="540" w:lineRule="exact"/>
        <w:rPr>
          <w:rFonts w:ascii="仿宋_GB2312" w:eastAsia="仿宋_GB2312"/>
          <w:sz w:val="28"/>
          <w:szCs w:val="28"/>
        </w:rPr>
      </w:pPr>
    </w:p>
    <w:p w:rsidR="00D976D9" w:rsidRPr="00D976D9" w:rsidRDefault="00D976D9" w:rsidP="00D976D9">
      <w:pPr>
        <w:rPr>
          <w:sz w:val="24"/>
          <w:szCs w:val="24"/>
        </w:rPr>
      </w:pPr>
    </w:p>
    <w:p w:rsidR="00017EF1" w:rsidRPr="00D976D9" w:rsidRDefault="00017EF1">
      <w:pPr>
        <w:rPr>
          <w:sz w:val="24"/>
          <w:szCs w:val="24"/>
        </w:rPr>
      </w:pPr>
    </w:p>
    <w:sectPr w:rsidR="00017EF1" w:rsidRPr="00D976D9" w:rsidSect="007E0A78">
      <w:footerReference w:type="even" r:id="rId5"/>
      <w:footerReference w:type="default" r:id="rId6"/>
      <w:pgSz w:w="11906" w:h="16838"/>
      <w:pgMar w:top="2098" w:right="1588" w:bottom="1985" w:left="1588" w:header="851" w:footer="992" w:gutter="0"/>
      <w:pgNumType w:fmt="numberInDash"/>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A78" w:rsidRDefault="00C87200" w:rsidP="007E0A78">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end"/>
    </w:r>
  </w:p>
  <w:p w:rsidR="007E0A78" w:rsidRDefault="00C87200" w:rsidP="007E0A78">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A78" w:rsidRDefault="00C87200" w:rsidP="007E0A78">
    <w:pPr>
      <w:pStyle w:val="a3"/>
      <w:framePr w:wrap="around" w:vAnchor="text" w:hAnchor="margin" w:xAlign="outside" w:y="1"/>
      <w:rPr>
        <w:rStyle w:val="a4"/>
      </w:rPr>
    </w:pPr>
    <w:r>
      <w:rPr>
        <w:rStyle w:val="a4"/>
      </w:rPr>
      <w:fldChar w:fldCharType="begin"/>
    </w:r>
    <w:r>
      <w:rPr>
        <w:rStyle w:val="a4"/>
      </w:rPr>
      <w:instrText xml:space="preserve">PAGE  </w:instrText>
    </w:r>
    <w:r>
      <w:rPr>
        <w:rStyle w:val="a4"/>
      </w:rPr>
      <w:fldChar w:fldCharType="separate"/>
    </w:r>
    <w:r w:rsidR="00D976D9">
      <w:rPr>
        <w:rStyle w:val="a4"/>
        <w:noProof/>
      </w:rPr>
      <w:t>- 2 -</w:t>
    </w:r>
    <w:r>
      <w:rPr>
        <w:rStyle w:val="a4"/>
      </w:rPr>
      <w:fldChar w:fldCharType="end"/>
    </w:r>
  </w:p>
  <w:p w:rsidR="007E0A78" w:rsidRDefault="00C87200" w:rsidP="007E0A78">
    <w:pPr>
      <w:pStyle w:val="a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6D9"/>
    <w:rsid w:val="00017EF1"/>
    <w:rsid w:val="00C87200"/>
    <w:rsid w:val="00D97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976D9"/>
    <w:pPr>
      <w:tabs>
        <w:tab w:val="center" w:pos="4153"/>
        <w:tab w:val="right" w:pos="8306"/>
      </w:tabs>
      <w:snapToGrid w:val="0"/>
      <w:jc w:val="left"/>
    </w:pPr>
    <w:rPr>
      <w:rFonts w:ascii="Calibri" w:eastAsia="宋体" w:hAnsi="Calibri" w:cs="Times New Roman"/>
      <w:sz w:val="18"/>
      <w:szCs w:val="18"/>
    </w:rPr>
  </w:style>
  <w:style w:type="character" w:customStyle="1" w:styleId="Char">
    <w:name w:val="页脚 Char"/>
    <w:basedOn w:val="a0"/>
    <w:link w:val="a3"/>
    <w:uiPriority w:val="99"/>
    <w:rsid w:val="00D976D9"/>
    <w:rPr>
      <w:rFonts w:ascii="Calibri" w:eastAsia="宋体" w:hAnsi="Calibri" w:cs="Times New Roman"/>
      <w:sz w:val="18"/>
      <w:szCs w:val="18"/>
    </w:rPr>
  </w:style>
  <w:style w:type="character" w:styleId="a4">
    <w:name w:val="page number"/>
    <w:basedOn w:val="a0"/>
    <w:rsid w:val="00D976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976D9"/>
    <w:pPr>
      <w:tabs>
        <w:tab w:val="center" w:pos="4153"/>
        <w:tab w:val="right" w:pos="8306"/>
      </w:tabs>
      <w:snapToGrid w:val="0"/>
      <w:jc w:val="left"/>
    </w:pPr>
    <w:rPr>
      <w:rFonts w:ascii="Calibri" w:eastAsia="宋体" w:hAnsi="Calibri" w:cs="Times New Roman"/>
      <w:sz w:val="18"/>
      <w:szCs w:val="18"/>
    </w:rPr>
  </w:style>
  <w:style w:type="character" w:customStyle="1" w:styleId="Char">
    <w:name w:val="页脚 Char"/>
    <w:basedOn w:val="a0"/>
    <w:link w:val="a3"/>
    <w:uiPriority w:val="99"/>
    <w:rsid w:val="00D976D9"/>
    <w:rPr>
      <w:rFonts w:ascii="Calibri" w:eastAsia="宋体" w:hAnsi="Calibri" w:cs="Times New Roman"/>
      <w:sz w:val="18"/>
      <w:szCs w:val="18"/>
    </w:rPr>
  </w:style>
  <w:style w:type="character" w:styleId="a4">
    <w:name w:val="page number"/>
    <w:basedOn w:val="a0"/>
    <w:rsid w:val="00D97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131</Words>
  <Characters>750</Characters>
  <Application>Microsoft Office Word</Application>
  <DocSecurity>0</DocSecurity>
  <Lines>6</Lines>
  <Paragraphs>1</Paragraphs>
  <ScaleCrop>false</ScaleCrop>
  <Company>微软中国</Company>
  <LinksUpToDate>false</LinksUpToDate>
  <CharactersWithSpaces>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2014-10-11T06:37:00Z</dcterms:created>
  <dcterms:modified xsi:type="dcterms:W3CDTF">2014-10-11T06:41:00Z</dcterms:modified>
</cp:coreProperties>
</file>